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25" w:rsidRPr="00DB6AE9" w:rsidRDefault="00253625" w:rsidP="00253625">
      <w:pPr>
        <w:spacing w:after="0"/>
        <w:jc w:val="center"/>
        <w:rPr>
          <w:rFonts w:ascii="Times New Roman" w:hAnsi="Times New Roman" w:cs="Times New Roman"/>
          <w:b/>
          <w:sz w:val="24"/>
          <w:szCs w:val="24"/>
        </w:rPr>
      </w:pPr>
      <w:r w:rsidRPr="00DB6AE9">
        <w:rPr>
          <w:rFonts w:ascii="Times New Roman" w:hAnsi="Times New Roman" w:cs="Times New Roman"/>
          <w:b/>
          <w:sz w:val="24"/>
          <w:szCs w:val="24"/>
        </w:rPr>
        <w:t>MODÜLER TIRMANMA OYUN GRUBU TEKNİK ŞARTNAMESİ</w:t>
      </w:r>
    </w:p>
    <w:p w:rsidR="00253625" w:rsidRPr="00DB6AE9" w:rsidRDefault="00253625" w:rsidP="00253625">
      <w:pPr>
        <w:spacing w:after="0"/>
        <w:jc w:val="center"/>
        <w:rPr>
          <w:rFonts w:ascii="Times New Roman" w:hAnsi="Times New Roman" w:cs="Times New Roman"/>
          <w:b/>
          <w:sz w:val="24"/>
          <w:szCs w:val="24"/>
        </w:rPr>
      </w:pPr>
    </w:p>
    <w:p w:rsidR="00253625" w:rsidRPr="00DB6AE9" w:rsidRDefault="00253625" w:rsidP="00253625">
      <w:pPr>
        <w:spacing w:after="0"/>
        <w:jc w:val="center"/>
        <w:rPr>
          <w:rFonts w:ascii="Times New Roman" w:hAnsi="Times New Roman" w:cs="Times New Roman"/>
          <w:b/>
          <w:bCs/>
          <w:sz w:val="24"/>
          <w:szCs w:val="24"/>
          <w:u w:val="single"/>
        </w:rPr>
      </w:pPr>
      <w:r w:rsidRPr="00DB6AE9">
        <w:rPr>
          <w:rFonts w:ascii="Times New Roman" w:hAnsi="Times New Roman" w:cs="Times New Roman"/>
          <w:b/>
          <w:bCs/>
          <w:sz w:val="24"/>
          <w:szCs w:val="24"/>
          <w:u w:val="single"/>
        </w:rPr>
        <w:t>GENEL ÖZELLİKLER</w:t>
      </w:r>
    </w:p>
    <w:p w:rsidR="00253625" w:rsidRPr="00DB6AE9" w:rsidRDefault="00253625" w:rsidP="00253625">
      <w:pPr>
        <w:spacing w:after="0"/>
        <w:jc w:val="center"/>
        <w:rPr>
          <w:rFonts w:ascii="Times New Roman" w:hAnsi="Times New Roman" w:cs="Times New Roman"/>
          <w:b/>
          <w:bCs/>
          <w:sz w:val="24"/>
          <w:szCs w:val="24"/>
          <w:u w:val="single"/>
        </w:rPr>
      </w:pP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Çocuk oyun elemanlarında kullanılan eğimlerde kesinlikle dik ve sivri yüzey bulunmayarak tüm bu köşe eğimleri boru eğme makinelerinde gerçekleştirilecektir.</w:t>
      </w: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Ürün et kalınlığı malzemenin basınca ve sürtünmeye maruz kalan noktalarında minimum ≥ 6 mm, herhangi bir basınca maruz kalmayan bariyer ve gölgelik amaçlı ürünlerde minimum ≥ 4 mm olmalıdır.</w:t>
      </w: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Oyun grubu üretimi sırasında kaynaklama işleminde </w:t>
      </w:r>
      <w:proofErr w:type="spellStart"/>
      <w:r w:rsidRPr="00DB6AE9">
        <w:rPr>
          <w:rFonts w:ascii="Times New Roman" w:hAnsi="Times New Roman" w:cs="Times New Roman"/>
          <w:sz w:val="24"/>
          <w:szCs w:val="24"/>
        </w:rPr>
        <w:t>gazaltı</w:t>
      </w:r>
      <w:proofErr w:type="spellEnd"/>
      <w:r w:rsidRPr="00DB6AE9">
        <w:rPr>
          <w:rFonts w:ascii="Times New Roman" w:hAnsi="Times New Roman" w:cs="Times New Roman"/>
          <w:sz w:val="24"/>
          <w:szCs w:val="24"/>
        </w:rPr>
        <w:t xml:space="preserve"> kaynağı kullanılacaktır.</w:t>
      </w: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bCs/>
          <w:kern w:val="22"/>
          <w:sz w:val="24"/>
          <w:szCs w:val="24"/>
        </w:rPr>
        <w:t xml:space="preserve">Tüm metal malzemeler (galvanizler dahil) </w:t>
      </w:r>
      <w:r w:rsidRPr="00DB6AE9">
        <w:rPr>
          <w:rFonts w:ascii="Times New Roman" w:hAnsi="Times New Roman" w:cs="Times New Roman"/>
          <w:kern w:val="22"/>
          <w:sz w:val="24"/>
          <w:szCs w:val="24"/>
        </w:rPr>
        <w:t>asit silme işlemini takiben</w:t>
      </w:r>
      <w:r>
        <w:rPr>
          <w:rFonts w:ascii="Times New Roman" w:hAnsi="Times New Roman" w:cs="Times New Roman"/>
          <w:kern w:val="22"/>
          <w:sz w:val="24"/>
          <w:szCs w:val="24"/>
        </w:rPr>
        <w:t xml:space="preserve"> kumlama </w:t>
      </w:r>
      <w:proofErr w:type="gramStart"/>
      <w:r>
        <w:rPr>
          <w:rFonts w:ascii="Times New Roman" w:hAnsi="Times New Roman" w:cs="Times New Roman"/>
          <w:kern w:val="22"/>
          <w:sz w:val="24"/>
          <w:szCs w:val="24"/>
        </w:rPr>
        <w:t xml:space="preserve">yapılarak </w:t>
      </w:r>
      <w:r w:rsidRPr="00DB6AE9">
        <w:rPr>
          <w:rFonts w:ascii="Times New Roman" w:hAnsi="Times New Roman" w:cs="Times New Roman"/>
          <w:kern w:val="22"/>
          <w:sz w:val="24"/>
          <w:szCs w:val="24"/>
        </w:rPr>
        <w:t xml:space="preserve"> tercih</w:t>
      </w:r>
      <w:proofErr w:type="gramEnd"/>
      <w:r w:rsidRPr="00DB6AE9">
        <w:rPr>
          <w:rFonts w:ascii="Times New Roman" w:hAnsi="Times New Roman" w:cs="Times New Roman"/>
          <w:kern w:val="22"/>
          <w:sz w:val="24"/>
          <w:szCs w:val="24"/>
        </w:rPr>
        <w:t xml:space="preserve"> edilen renklerde </w:t>
      </w:r>
      <w:r>
        <w:rPr>
          <w:rFonts w:ascii="Times New Roman" w:hAnsi="Times New Roman" w:cs="Times New Roman"/>
          <w:kern w:val="22"/>
          <w:sz w:val="24"/>
          <w:szCs w:val="24"/>
        </w:rPr>
        <w:t>elektrostatik toz</w:t>
      </w:r>
      <w:r w:rsidRPr="00DB6AE9">
        <w:rPr>
          <w:rFonts w:ascii="Times New Roman" w:hAnsi="Times New Roman" w:cs="Times New Roman"/>
          <w:kern w:val="22"/>
          <w:sz w:val="24"/>
          <w:szCs w:val="24"/>
        </w:rPr>
        <w:t xml:space="preserve"> b</w:t>
      </w:r>
      <w:r>
        <w:rPr>
          <w:rFonts w:ascii="Times New Roman" w:hAnsi="Times New Roman" w:cs="Times New Roman"/>
          <w:kern w:val="22"/>
          <w:sz w:val="24"/>
          <w:szCs w:val="24"/>
        </w:rPr>
        <w:t xml:space="preserve">oya yöntemi ile boyanacak olup </w:t>
      </w:r>
      <w:r w:rsidRPr="00DB6AE9">
        <w:rPr>
          <w:rFonts w:ascii="Times New Roman" w:hAnsi="Times New Roman" w:cs="Times New Roman"/>
          <w:kern w:val="22"/>
          <w:sz w:val="24"/>
          <w:szCs w:val="24"/>
        </w:rPr>
        <w:t>boya</w:t>
      </w:r>
      <w:r>
        <w:rPr>
          <w:rFonts w:ascii="Times New Roman" w:hAnsi="Times New Roman" w:cs="Times New Roman"/>
          <w:kern w:val="22"/>
          <w:sz w:val="24"/>
          <w:szCs w:val="24"/>
        </w:rPr>
        <w:t>,</w:t>
      </w:r>
      <w:r w:rsidRPr="00DB6AE9">
        <w:rPr>
          <w:rFonts w:ascii="Times New Roman" w:hAnsi="Times New Roman" w:cs="Times New Roman"/>
          <w:kern w:val="22"/>
          <w:sz w:val="24"/>
          <w:szCs w:val="24"/>
        </w:rPr>
        <w:t xml:space="preserve"> dış saha kullanımına uygun ve dayanıklı olacaktır. Boya renkleri idare tarafından belirlenecektir.</w:t>
      </w:r>
      <w:r w:rsidRPr="00DB6AE9">
        <w:rPr>
          <w:rFonts w:ascii="Times New Roman" w:hAnsi="Times New Roman" w:cs="Times New Roman"/>
          <w:sz w:val="24"/>
          <w:szCs w:val="24"/>
        </w:rPr>
        <w:t xml:space="preserve"> Boya renk uygulamasında çocukların ilgisini çekecek şekilde renk cümbüşü oluşturulacaktır. </w:t>
      </w: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Oyun grubunu meydana getiren bütün </w:t>
      </w:r>
      <w:proofErr w:type="spellStart"/>
      <w:r w:rsidRPr="00DB6AE9">
        <w:rPr>
          <w:rFonts w:ascii="Times New Roman" w:hAnsi="Times New Roman" w:cs="Times New Roman"/>
          <w:sz w:val="24"/>
          <w:szCs w:val="24"/>
        </w:rPr>
        <w:t>aksamların</w:t>
      </w:r>
      <w:proofErr w:type="spellEnd"/>
      <w:r w:rsidRPr="00DB6AE9">
        <w:rPr>
          <w:rFonts w:ascii="Times New Roman" w:hAnsi="Times New Roman" w:cs="Times New Roman"/>
          <w:sz w:val="24"/>
          <w:szCs w:val="24"/>
        </w:rPr>
        <w:t xml:space="preserve"> her biri nakliye esnasında yıpranmayı engelleyecek şekilde ambalajlanmış olacaktır.</w:t>
      </w: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Aksi belirtilmedikçe plastik malzemeler alçak yoğunluklu lineer polietilen (LLDPE-Lineer </w:t>
      </w:r>
      <w:proofErr w:type="spellStart"/>
      <w:r w:rsidRPr="00DB6AE9">
        <w:rPr>
          <w:rFonts w:ascii="Times New Roman" w:hAnsi="Times New Roman" w:cs="Times New Roman"/>
          <w:sz w:val="24"/>
          <w:szCs w:val="24"/>
        </w:rPr>
        <w:t>LowDensityPolyethylene</w:t>
      </w:r>
      <w:proofErr w:type="spellEnd"/>
      <w:r w:rsidRPr="00DB6AE9">
        <w:rPr>
          <w:rFonts w:ascii="Times New Roman" w:hAnsi="Times New Roman" w:cs="Times New Roman"/>
          <w:sz w:val="24"/>
          <w:szCs w:val="24"/>
        </w:rPr>
        <w:t>) kullanılacaktır.</w:t>
      </w:r>
    </w:p>
    <w:p w:rsidR="00253625" w:rsidRPr="00DB6AE9" w:rsidRDefault="00253625" w:rsidP="00253625">
      <w:pPr>
        <w:pStyle w:val="ListeParagraf"/>
        <w:numPr>
          <w:ilvl w:val="0"/>
          <w:numId w:val="23"/>
        </w:numPr>
        <w:spacing w:after="0"/>
        <w:jc w:val="both"/>
        <w:rPr>
          <w:rFonts w:ascii="Times New Roman" w:eastAsia="Arial Unicode MS" w:hAnsi="Times New Roman" w:cs="Times New Roman"/>
          <w:b/>
          <w:bCs/>
          <w:sz w:val="24"/>
          <w:szCs w:val="24"/>
        </w:rPr>
      </w:pPr>
      <w:r w:rsidRPr="00DB6AE9">
        <w:rPr>
          <w:rFonts w:ascii="Times New Roman" w:hAnsi="Times New Roman" w:cs="Times New Roman"/>
          <w:sz w:val="24"/>
          <w:szCs w:val="24"/>
        </w:rPr>
        <w:t>Elektriklenmeyi önlemek içinde polietilenin içine anti statik madde ilave edilecektir. Bu madde kaydıraktan kayma esnasında meydana gelen statik elektriği önlemektedir. Elektriklenmeyi önlemek içinde polietilenin içine anti statik madde ilave edilecektir. Bu madde kaydıraktan kayma esnasında meydana gelen statik elektriği önlemektedir.</w:t>
      </w:r>
    </w:p>
    <w:p w:rsidR="00253625" w:rsidRPr="00DB6AE9" w:rsidRDefault="00253625" w:rsidP="00253625">
      <w:pPr>
        <w:pStyle w:val="ListeParagraf"/>
        <w:numPr>
          <w:ilvl w:val="0"/>
          <w:numId w:val="23"/>
        </w:numPr>
        <w:spacing w:after="0"/>
        <w:jc w:val="both"/>
        <w:rPr>
          <w:rFonts w:ascii="Times New Roman" w:hAnsi="Times New Roman" w:cs="Times New Roman"/>
          <w:kern w:val="22"/>
          <w:sz w:val="24"/>
          <w:szCs w:val="24"/>
        </w:rPr>
      </w:pPr>
      <w:r w:rsidRPr="00DB6AE9">
        <w:rPr>
          <w:rFonts w:ascii="Times New Roman" w:hAnsi="Times New Roman" w:cs="Times New Roman"/>
          <w:sz w:val="24"/>
          <w:szCs w:val="24"/>
        </w:rPr>
        <w:t>İdarenin arızayı bildirmesine müteakip en geç 24 saat içerisinde müdahale edilecektir.</w:t>
      </w:r>
    </w:p>
    <w:p w:rsidR="00253625" w:rsidRPr="00DB6AE9" w:rsidRDefault="00253625" w:rsidP="00253625">
      <w:pPr>
        <w:pStyle w:val="ListeParagraf"/>
        <w:numPr>
          <w:ilvl w:val="0"/>
          <w:numId w:val="23"/>
        </w:numPr>
        <w:spacing w:after="0"/>
        <w:jc w:val="both"/>
        <w:rPr>
          <w:rFonts w:ascii="Times New Roman" w:hAnsi="Times New Roman" w:cs="Times New Roman"/>
          <w:kern w:val="22"/>
          <w:sz w:val="24"/>
          <w:szCs w:val="24"/>
        </w:rPr>
      </w:pPr>
      <w:r w:rsidRPr="00DB6AE9">
        <w:rPr>
          <w:rFonts w:ascii="Times New Roman" w:hAnsi="Times New Roman" w:cs="Times New Roman"/>
          <w:sz w:val="24"/>
          <w:szCs w:val="24"/>
        </w:rPr>
        <w:t xml:space="preserve">Teknik şartnamedeki ölçülerde -%5 oranında,  ağırlıklarda ise -%3 oranında tolerans verilmiş, </w:t>
      </w:r>
      <w:proofErr w:type="spellStart"/>
      <w:r w:rsidRPr="00DB6AE9">
        <w:rPr>
          <w:rFonts w:ascii="Times New Roman" w:hAnsi="Times New Roman" w:cs="Times New Roman"/>
          <w:sz w:val="24"/>
          <w:szCs w:val="24"/>
        </w:rPr>
        <w:t>max</w:t>
      </w:r>
      <w:proofErr w:type="spellEnd"/>
      <w:r w:rsidRPr="00DB6AE9">
        <w:rPr>
          <w:rFonts w:ascii="Times New Roman" w:hAnsi="Times New Roman" w:cs="Times New Roman"/>
          <w:sz w:val="24"/>
          <w:szCs w:val="24"/>
        </w:rPr>
        <w:t xml:space="preserve">. </w:t>
      </w:r>
      <w:proofErr w:type="gramStart"/>
      <w:r w:rsidRPr="00DB6AE9">
        <w:rPr>
          <w:rFonts w:ascii="Times New Roman" w:hAnsi="Times New Roman" w:cs="Times New Roman"/>
          <w:sz w:val="24"/>
          <w:szCs w:val="24"/>
        </w:rPr>
        <w:t>ölçüler</w:t>
      </w:r>
      <w:proofErr w:type="gramEnd"/>
      <w:r w:rsidRPr="00DB6AE9">
        <w:rPr>
          <w:rFonts w:ascii="Times New Roman" w:hAnsi="Times New Roman" w:cs="Times New Roman"/>
          <w:sz w:val="24"/>
          <w:szCs w:val="24"/>
        </w:rPr>
        <w:t xml:space="preserve"> serbest bırakılmıştır.</w:t>
      </w:r>
    </w:p>
    <w:p w:rsidR="00253625" w:rsidRPr="00DB6AE9" w:rsidRDefault="00253625" w:rsidP="00253625">
      <w:pPr>
        <w:spacing w:after="0"/>
        <w:rPr>
          <w:rFonts w:ascii="Times New Roman" w:hAnsi="Times New Roman" w:cs="Times New Roman"/>
          <w:b/>
          <w:sz w:val="24"/>
          <w:szCs w:val="24"/>
        </w:rPr>
      </w:pPr>
    </w:p>
    <w:p w:rsidR="00253625" w:rsidRPr="00DB6AE9" w:rsidRDefault="00253625" w:rsidP="00253625">
      <w:pPr>
        <w:spacing w:after="0"/>
        <w:jc w:val="center"/>
        <w:rPr>
          <w:rFonts w:ascii="Times New Roman" w:hAnsi="Times New Roman" w:cs="Times New Roman"/>
          <w:b/>
          <w:sz w:val="24"/>
          <w:szCs w:val="24"/>
        </w:rPr>
      </w:pPr>
      <w:r w:rsidRPr="00DB6AE9">
        <w:rPr>
          <w:rFonts w:ascii="Times New Roman" w:hAnsi="Times New Roman" w:cs="Times New Roman"/>
          <w:b/>
          <w:sz w:val="24"/>
          <w:szCs w:val="24"/>
        </w:rPr>
        <w:t xml:space="preserve">ÜRÜNLERDE ARANACAK VE BELEDİYE’YE İBRAZ EDİLECEK </w:t>
      </w:r>
    </w:p>
    <w:p w:rsidR="00253625" w:rsidRPr="00DB6AE9" w:rsidRDefault="00253625" w:rsidP="00253625">
      <w:pPr>
        <w:spacing w:after="0"/>
        <w:jc w:val="center"/>
        <w:rPr>
          <w:rFonts w:ascii="Times New Roman" w:hAnsi="Times New Roman" w:cs="Times New Roman"/>
          <w:b/>
          <w:sz w:val="24"/>
          <w:szCs w:val="24"/>
        </w:rPr>
      </w:pPr>
      <w:r w:rsidRPr="00DB6AE9">
        <w:rPr>
          <w:rFonts w:ascii="Times New Roman" w:hAnsi="Times New Roman" w:cs="Times New Roman"/>
          <w:b/>
          <w:sz w:val="24"/>
          <w:szCs w:val="24"/>
        </w:rPr>
        <w:t>KALİTE, STANDART BELGELERİ</w:t>
      </w:r>
      <w:r>
        <w:rPr>
          <w:rFonts w:ascii="Times New Roman" w:hAnsi="Times New Roman" w:cs="Times New Roman"/>
          <w:b/>
          <w:sz w:val="24"/>
          <w:szCs w:val="24"/>
        </w:rPr>
        <w:t xml:space="preserve"> </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b/>
          <w:bCs/>
          <w:sz w:val="24"/>
          <w:szCs w:val="24"/>
        </w:rPr>
        <w:t>TS EN 1176-1 Oyun alanı elemanları ve zemin düzenlemeleri – Bölüm 1: Genel güvenlik kuralları ve deney yöntemleri standardı uygunluk belgesi,</w:t>
      </w:r>
    </w:p>
    <w:p w:rsidR="00253625" w:rsidRPr="00DB6AE9" w:rsidRDefault="00253625" w:rsidP="00253625">
      <w:pPr>
        <w:pStyle w:val="ListeParagraf"/>
        <w:numPr>
          <w:ilvl w:val="0"/>
          <w:numId w:val="22"/>
        </w:numPr>
        <w:spacing w:after="0"/>
        <w:jc w:val="both"/>
        <w:rPr>
          <w:rFonts w:ascii="Times New Roman" w:hAnsi="Times New Roman" w:cs="Times New Roman"/>
          <w:b/>
          <w:sz w:val="24"/>
          <w:szCs w:val="24"/>
        </w:rPr>
      </w:pPr>
      <w:r w:rsidRPr="00DB6AE9">
        <w:rPr>
          <w:rFonts w:ascii="Times New Roman" w:hAnsi="Times New Roman" w:cs="Times New Roman"/>
          <w:sz w:val="24"/>
          <w:szCs w:val="24"/>
        </w:rPr>
        <w:t xml:space="preserve">İmalata Yeterlilik Belgesi olacaktır. </w:t>
      </w:r>
      <w:r w:rsidRPr="00DB6AE9">
        <w:rPr>
          <w:rFonts w:ascii="Times New Roman" w:hAnsi="Times New Roman" w:cs="Times New Roman"/>
          <w:kern w:val="22"/>
          <w:sz w:val="24"/>
          <w:szCs w:val="24"/>
        </w:rPr>
        <w:t>ISO 9001:2015 Kalite sistem ve ISO 14001:2015 Çevre yönetim sistem belgeleri,</w:t>
      </w:r>
    </w:p>
    <w:p w:rsidR="00253625" w:rsidRPr="00DB6AE9" w:rsidRDefault="00253625" w:rsidP="00253625">
      <w:pPr>
        <w:pStyle w:val="ListeParagraf"/>
        <w:numPr>
          <w:ilvl w:val="0"/>
          <w:numId w:val="22"/>
        </w:numPr>
        <w:spacing w:after="0"/>
        <w:jc w:val="both"/>
        <w:rPr>
          <w:rFonts w:ascii="Times New Roman" w:hAnsi="Times New Roman" w:cs="Times New Roman"/>
          <w:b/>
          <w:sz w:val="24"/>
          <w:szCs w:val="24"/>
        </w:rPr>
      </w:pPr>
      <w:r w:rsidRPr="00DB6AE9">
        <w:rPr>
          <w:rFonts w:ascii="Times New Roman" w:hAnsi="Times New Roman" w:cs="Times New Roman"/>
          <w:sz w:val="24"/>
          <w:szCs w:val="24"/>
        </w:rPr>
        <w:t>İdaremizin çocuk parkında doğabilecek kazalara karşı tazminat ödememesi için, imalatçı tarafından sigorta şirketlerinden alınmış olan Üretici Ürün Sorumluluk Sigorta poliçesi ihale dosyasına konulacaktır. Poliçenin içeriğinde dikkat edilecek hususlar:</w:t>
      </w:r>
      <w:r w:rsidRPr="00DB6AE9">
        <w:rPr>
          <w:rFonts w:ascii="Times New Roman" w:hAnsi="Times New Roman" w:cs="Times New Roman"/>
          <w:b/>
          <w:i/>
          <w:sz w:val="24"/>
          <w:szCs w:val="24"/>
        </w:rPr>
        <w:t xml:space="preserve"> Maddi bedeni ayrımı yapılmaksızın olay başına ve yıllık limiti</w:t>
      </w:r>
      <w:r w:rsidRPr="00DB6AE9">
        <w:rPr>
          <w:rFonts w:ascii="Times New Roman" w:hAnsi="Times New Roman" w:cs="Times New Roman"/>
          <w:sz w:val="24"/>
          <w:szCs w:val="24"/>
        </w:rPr>
        <w:t xml:space="preserve"> 4.000.000 TL’den az olmayacaktır. Sigorta Kapsamında Geçecek İbareler </w:t>
      </w:r>
      <w:r w:rsidRPr="00DB6AE9">
        <w:rPr>
          <w:rFonts w:ascii="Times New Roman" w:hAnsi="Times New Roman" w:cs="Times New Roman"/>
          <w:b/>
          <w:i/>
          <w:sz w:val="24"/>
          <w:szCs w:val="24"/>
        </w:rPr>
        <w:t>Üçüncü kişilerin ölmesi, yaralanması veya sağlığının bozulması</w:t>
      </w:r>
      <w:r w:rsidRPr="00DB6AE9">
        <w:rPr>
          <w:rFonts w:ascii="Times New Roman" w:hAnsi="Times New Roman" w:cs="Times New Roman"/>
          <w:sz w:val="24"/>
          <w:szCs w:val="24"/>
        </w:rPr>
        <w:t xml:space="preserve"> – </w:t>
      </w:r>
      <w:r w:rsidRPr="00DB6AE9">
        <w:rPr>
          <w:rFonts w:ascii="Times New Roman" w:hAnsi="Times New Roman" w:cs="Times New Roman"/>
          <w:b/>
          <w:i/>
          <w:sz w:val="24"/>
          <w:szCs w:val="24"/>
        </w:rPr>
        <w:t>Üçüncü kişilere ait mallarda maddi zarar meydana gelmesi</w:t>
      </w:r>
      <w:r w:rsidRPr="00DB6AE9">
        <w:rPr>
          <w:rFonts w:ascii="Times New Roman" w:hAnsi="Times New Roman" w:cs="Times New Roman"/>
          <w:sz w:val="24"/>
          <w:szCs w:val="24"/>
        </w:rPr>
        <w:t xml:space="preserve"> – </w:t>
      </w:r>
      <w:r w:rsidRPr="00DB6AE9">
        <w:rPr>
          <w:rFonts w:ascii="Times New Roman" w:hAnsi="Times New Roman" w:cs="Times New Roman"/>
          <w:b/>
          <w:i/>
          <w:sz w:val="24"/>
          <w:szCs w:val="24"/>
        </w:rPr>
        <w:t>Üçüncü kişiler tarafından yapılacak manevi tazminat talepleri</w:t>
      </w:r>
      <w:r w:rsidRPr="00DB6AE9">
        <w:rPr>
          <w:rFonts w:ascii="Times New Roman" w:hAnsi="Times New Roman" w:cs="Times New Roman"/>
          <w:sz w:val="24"/>
          <w:szCs w:val="24"/>
        </w:rPr>
        <w:t xml:space="preserve"> Şeklinde olacaktır. Poliçede Faaliyet konusu bölümünde “Açık Alanlarda Kullanılan Çocuk Oyun Grupları” açıkça belirtilmiş olacaktır. Poliçede belirtilen firma cirosunun gerçek ciroyu yansıtması gerekmektedir. Gerçek ciroyu yansıtmayan poliçe geçerliliğini yitireceği için, idaremiz tarafından kabul edilmeyecektir.</w:t>
      </w:r>
    </w:p>
    <w:p w:rsidR="00253625" w:rsidRPr="00DB6AE9" w:rsidRDefault="00253625" w:rsidP="00253625">
      <w:pPr>
        <w:pStyle w:val="ListeParagraf"/>
        <w:numPr>
          <w:ilvl w:val="0"/>
          <w:numId w:val="22"/>
        </w:numPr>
        <w:spacing w:after="0"/>
        <w:jc w:val="both"/>
        <w:rPr>
          <w:rFonts w:ascii="Times New Roman" w:hAnsi="Times New Roman" w:cs="Times New Roman"/>
          <w:b/>
          <w:sz w:val="24"/>
          <w:szCs w:val="24"/>
        </w:rPr>
      </w:pPr>
      <w:r w:rsidRPr="00DB6AE9">
        <w:rPr>
          <w:rFonts w:ascii="Times New Roman" w:hAnsi="Times New Roman" w:cs="Times New Roman"/>
          <w:sz w:val="24"/>
          <w:szCs w:val="24"/>
        </w:rPr>
        <w:lastRenderedPageBreak/>
        <w:t>Ürünlerin imalat ve montaj hatalarına karşı 2 yıl garantili olduğuna dair taahhütname</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Teklif edilecek bedelin minimum </w:t>
      </w:r>
      <w:r w:rsidRPr="00DB6AE9">
        <w:rPr>
          <w:rFonts w:ascii="Times New Roman" w:hAnsi="Times New Roman" w:cs="Times New Roman"/>
          <w:sz w:val="24"/>
          <w:szCs w:val="24"/>
          <w:highlight w:val="yellow"/>
        </w:rPr>
        <w:t>%...’si</w:t>
      </w:r>
      <w:r w:rsidRPr="00DB6AE9">
        <w:rPr>
          <w:rFonts w:ascii="Times New Roman" w:hAnsi="Times New Roman" w:cs="Times New Roman"/>
          <w:sz w:val="24"/>
          <w:szCs w:val="24"/>
        </w:rPr>
        <w:t xml:space="preserve"> oranın İş deneyim belgesi. İş deneyim belgesinin içeriğinde “çocuk oyun grupları ve açık alan spor aletleri imalatı veya satışı” yapıldığı belirtilmiş olacaktır. </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Yerli malı belgesi ve İmalat Yeterlilik Belgesi</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Kapasite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İlgili kurumdan alınmış firmanın ilgili yönetmelik hükümlerine uygun çalıştığını gösterir işyeri açma ve çalıştırma ruhsatı. Ruhsatta üretim konusunun “Çocuk Oyun Grupları ve Dış Mekân Spor Aletleri İmalatı” olduğu açıkça belirtilmiş olmalıdır. </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Üretici firmanın </w:t>
      </w:r>
      <w:r w:rsidRPr="00DB6AE9">
        <w:rPr>
          <w:rFonts w:ascii="Times New Roman" w:hAnsi="Times New Roman" w:cs="Times New Roman"/>
          <w:b/>
          <w:sz w:val="24"/>
          <w:szCs w:val="24"/>
        </w:rPr>
        <w:t>“Çocuk Oyun Grupları, Kent Mobilyaları, Açık Alan Spor Malzemeleri ve Donanımları, Kauçuk Zemin Kaplamaları Üretimi”</w:t>
      </w:r>
      <w:r w:rsidRPr="00DB6AE9">
        <w:rPr>
          <w:rFonts w:ascii="Times New Roman" w:hAnsi="Times New Roman" w:cs="Times New Roman"/>
          <w:sz w:val="24"/>
          <w:szCs w:val="24"/>
        </w:rPr>
        <w:t xml:space="preserve"> kapsamında </w:t>
      </w:r>
      <w:r w:rsidRPr="00DB6AE9">
        <w:rPr>
          <w:rFonts w:ascii="Times New Roman" w:hAnsi="Times New Roman" w:cs="Times New Roman"/>
          <w:b/>
          <w:sz w:val="24"/>
          <w:szCs w:val="24"/>
        </w:rPr>
        <w:t>ISO 10002:2018</w:t>
      </w:r>
      <w:r w:rsidRPr="00DB6AE9">
        <w:rPr>
          <w:rFonts w:ascii="Times New Roman" w:hAnsi="Times New Roman" w:cs="Times New Roman"/>
          <w:sz w:val="24"/>
          <w:szCs w:val="24"/>
        </w:rPr>
        <w:t xml:space="preserve"> Müşteri memnuniyeti yönetim standardı şartlarına uyan bir yönetim sistemi kurduğunu ve uygulandığının belgesi olacaktır.</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Metal </w:t>
      </w:r>
      <w:proofErr w:type="spellStart"/>
      <w:r w:rsidRPr="00DB6AE9">
        <w:rPr>
          <w:rFonts w:ascii="Times New Roman" w:hAnsi="Times New Roman" w:cs="Times New Roman"/>
          <w:sz w:val="24"/>
          <w:szCs w:val="24"/>
        </w:rPr>
        <w:t>aksamlara</w:t>
      </w:r>
      <w:proofErr w:type="spellEnd"/>
      <w:r w:rsidRPr="00DB6AE9">
        <w:rPr>
          <w:rFonts w:ascii="Times New Roman" w:hAnsi="Times New Roman" w:cs="Times New Roman"/>
          <w:sz w:val="24"/>
          <w:szCs w:val="24"/>
        </w:rPr>
        <w:t xml:space="preserve"> uygulanan elektrostatik toz boyanın TS EN 71-3+A2:2018-10 standardına göre akredite edilmiş bir laboratuvar tarafından yapılabilen deneyler yönüyle uygun olduğunu gösteren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Metal </w:t>
      </w:r>
      <w:proofErr w:type="spellStart"/>
      <w:r w:rsidRPr="00DB6AE9">
        <w:rPr>
          <w:rFonts w:ascii="Times New Roman" w:hAnsi="Times New Roman" w:cs="Times New Roman"/>
          <w:sz w:val="24"/>
          <w:szCs w:val="24"/>
        </w:rPr>
        <w:t>aksamlara</w:t>
      </w:r>
      <w:proofErr w:type="spellEnd"/>
      <w:r w:rsidRPr="00DB6AE9">
        <w:rPr>
          <w:rFonts w:ascii="Times New Roman" w:hAnsi="Times New Roman" w:cs="Times New Roman"/>
          <w:sz w:val="24"/>
          <w:szCs w:val="24"/>
        </w:rPr>
        <w:t xml:space="preserve"> uygulanan elektrostatik toz boyanın TS EN 71-2+A1:2014-04 standardına göre akredite edilmiş bir laboratuvar tarafından </w:t>
      </w:r>
      <w:proofErr w:type="spellStart"/>
      <w:r w:rsidRPr="00DB6AE9">
        <w:rPr>
          <w:rFonts w:ascii="Times New Roman" w:hAnsi="Times New Roman" w:cs="Times New Roman"/>
          <w:sz w:val="24"/>
          <w:szCs w:val="24"/>
        </w:rPr>
        <w:t>alevlenebilirliği</w:t>
      </w:r>
      <w:proofErr w:type="spellEnd"/>
      <w:r w:rsidRPr="00DB6AE9">
        <w:rPr>
          <w:rFonts w:ascii="Times New Roman" w:hAnsi="Times New Roman" w:cs="Times New Roman"/>
          <w:sz w:val="24"/>
          <w:szCs w:val="24"/>
        </w:rPr>
        <w:t xml:space="preserve"> incelenerek uygun olduğunu gösteren deney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Oyun gruplarında kullanılan plastiklerin TS EN ISO 9227 standardına göre 600 saatlik </w:t>
      </w:r>
      <w:proofErr w:type="spellStart"/>
      <w:r w:rsidRPr="00DB6AE9">
        <w:rPr>
          <w:rFonts w:ascii="Times New Roman" w:hAnsi="Times New Roman" w:cs="Times New Roman"/>
          <w:sz w:val="24"/>
          <w:szCs w:val="24"/>
        </w:rPr>
        <w:t>nötral</w:t>
      </w:r>
      <w:proofErr w:type="spellEnd"/>
      <w:r w:rsidRPr="00DB6AE9">
        <w:rPr>
          <w:rFonts w:ascii="Times New Roman" w:hAnsi="Times New Roman" w:cs="Times New Roman"/>
          <w:sz w:val="24"/>
          <w:szCs w:val="24"/>
        </w:rPr>
        <w:t xml:space="preserve"> tuz püskürtme testine TÜRKAK tarafından onaylanmış bir laboratuvar tarafından tabi tutulduğunda çatlama, kırılma ve esneme görülmediğini gösteren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Metal boru üzerinde bulunan elektrostatik boyaların (pembe, mavi, gri, kırmızı, turuncu, sarı) gelişimsel bozukluğa sebep olan di-</w:t>
      </w:r>
      <w:proofErr w:type="spellStart"/>
      <w:r w:rsidRPr="00DB6AE9">
        <w:rPr>
          <w:rFonts w:ascii="Times New Roman" w:hAnsi="Times New Roman" w:cs="Times New Roman"/>
          <w:sz w:val="24"/>
          <w:szCs w:val="24"/>
        </w:rPr>
        <w:t>isononyl</w:t>
      </w:r>
      <w:proofErr w:type="spellEnd"/>
      <w:r w:rsidRPr="00DB6AE9">
        <w:rPr>
          <w:rFonts w:ascii="Times New Roman" w:hAnsi="Times New Roman" w:cs="Times New Roman"/>
          <w:sz w:val="24"/>
          <w:szCs w:val="24"/>
        </w:rPr>
        <w:t xml:space="preserve"> ve tüm çocuk ürünlerinde aranan kanserojen </w:t>
      </w:r>
      <w:proofErr w:type="spellStart"/>
      <w:r w:rsidRPr="00DB6AE9">
        <w:rPr>
          <w:rFonts w:ascii="Times New Roman" w:hAnsi="Times New Roman" w:cs="Times New Roman"/>
          <w:sz w:val="24"/>
          <w:szCs w:val="24"/>
        </w:rPr>
        <w:t>diethylhexyl</w:t>
      </w:r>
      <w:proofErr w:type="spellEnd"/>
      <w:r w:rsidRPr="00DB6AE9">
        <w:rPr>
          <w:rFonts w:ascii="Times New Roman" w:hAnsi="Times New Roman" w:cs="Times New Roman"/>
          <w:sz w:val="24"/>
          <w:szCs w:val="24"/>
        </w:rPr>
        <w:t xml:space="preserve"> </w:t>
      </w:r>
      <w:proofErr w:type="spellStart"/>
      <w:r w:rsidRPr="00DB6AE9">
        <w:rPr>
          <w:rFonts w:ascii="Times New Roman" w:hAnsi="Times New Roman" w:cs="Times New Roman"/>
          <w:sz w:val="24"/>
          <w:szCs w:val="24"/>
        </w:rPr>
        <w:t>phthalate</w:t>
      </w:r>
      <w:proofErr w:type="spellEnd"/>
      <w:r w:rsidRPr="00DB6AE9">
        <w:rPr>
          <w:rFonts w:ascii="Times New Roman" w:hAnsi="Times New Roman" w:cs="Times New Roman"/>
          <w:sz w:val="24"/>
          <w:szCs w:val="24"/>
        </w:rPr>
        <w:t xml:space="preserve"> maddelerinin tespit edilmediğini gösterir akredite edilmiş bir kurumdan alınan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Plastik malzemelerin gelişimsel bozukluğa sebep olan di-</w:t>
      </w:r>
      <w:proofErr w:type="spellStart"/>
      <w:r w:rsidRPr="00DB6AE9">
        <w:rPr>
          <w:rFonts w:ascii="Times New Roman" w:hAnsi="Times New Roman" w:cs="Times New Roman"/>
          <w:sz w:val="24"/>
          <w:szCs w:val="24"/>
        </w:rPr>
        <w:t>isononyl</w:t>
      </w:r>
      <w:proofErr w:type="spellEnd"/>
      <w:r w:rsidRPr="00DB6AE9">
        <w:rPr>
          <w:rFonts w:ascii="Times New Roman" w:hAnsi="Times New Roman" w:cs="Times New Roman"/>
          <w:sz w:val="24"/>
          <w:szCs w:val="24"/>
        </w:rPr>
        <w:t xml:space="preserve"> ve tüm çocuk ürünlerinde aranan kanserojen </w:t>
      </w:r>
      <w:proofErr w:type="spellStart"/>
      <w:r w:rsidRPr="00DB6AE9">
        <w:rPr>
          <w:rFonts w:ascii="Times New Roman" w:hAnsi="Times New Roman" w:cs="Times New Roman"/>
          <w:sz w:val="24"/>
          <w:szCs w:val="24"/>
        </w:rPr>
        <w:t>diethylhexyl</w:t>
      </w:r>
      <w:proofErr w:type="spellEnd"/>
      <w:r w:rsidRPr="00DB6AE9">
        <w:rPr>
          <w:rFonts w:ascii="Times New Roman" w:hAnsi="Times New Roman" w:cs="Times New Roman"/>
          <w:sz w:val="24"/>
          <w:szCs w:val="24"/>
        </w:rPr>
        <w:t xml:space="preserve"> </w:t>
      </w:r>
      <w:proofErr w:type="spellStart"/>
      <w:r w:rsidRPr="00DB6AE9">
        <w:rPr>
          <w:rFonts w:ascii="Times New Roman" w:hAnsi="Times New Roman" w:cs="Times New Roman"/>
          <w:sz w:val="24"/>
          <w:szCs w:val="24"/>
        </w:rPr>
        <w:t>phthalate</w:t>
      </w:r>
      <w:proofErr w:type="spellEnd"/>
      <w:r w:rsidRPr="00DB6AE9">
        <w:rPr>
          <w:rFonts w:ascii="Times New Roman" w:hAnsi="Times New Roman" w:cs="Times New Roman"/>
          <w:sz w:val="24"/>
          <w:szCs w:val="24"/>
        </w:rPr>
        <w:t xml:space="preserve"> maddelerinin tespit edilmediğini gösterir akredite edilmiş bir kurumdan alınan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Polietilen malzemelerin TS EN 71-2+A1:2014-04 standardına göre akredite edilmiş bir laboratuvar tarafından </w:t>
      </w:r>
      <w:proofErr w:type="spellStart"/>
      <w:r w:rsidRPr="00DB6AE9">
        <w:rPr>
          <w:rFonts w:ascii="Times New Roman" w:hAnsi="Times New Roman" w:cs="Times New Roman"/>
          <w:sz w:val="24"/>
          <w:szCs w:val="24"/>
        </w:rPr>
        <w:t>alevlenebilirliği</w:t>
      </w:r>
      <w:proofErr w:type="spellEnd"/>
      <w:r w:rsidRPr="00DB6AE9">
        <w:rPr>
          <w:rFonts w:ascii="Times New Roman" w:hAnsi="Times New Roman" w:cs="Times New Roman"/>
          <w:sz w:val="24"/>
          <w:szCs w:val="24"/>
        </w:rPr>
        <w:t xml:space="preserve"> incelenerek uygun olduğunu gösteren deney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Polietilen malzemelerin TS EN 71-3+A2:2018-10 standardına göre akredite edilmiş bir laboratuvar tarafından yapılabilen deneyler yönüyle çocuk sağlığını etkileyecek element göçünün meydana gelmediğini gösteren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Yeşil, turuncu, mavi, kırmızı, sarı ve pembe renklerdeki polietilen plakalara ISO 105 B02 standardına göre 120 saat Ksenon ark soldurma lambası deneyine tabi tutulduğunda mavi </w:t>
      </w:r>
      <w:proofErr w:type="gramStart"/>
      <w:r w:rsidRPr="00DB6AE9">
        <w:rPr>
          <w:rFonts w:ascii="Times New Roman" w:hAnsi="Times New Roman" w:cs="Times New Roman"/>
          <w:sz w:val="24"/>
          <w:szCs w:val="24"/>
        </w:rPr>
        <w:t>skala</w:t>
      </w:r>
      <w:proofErr w:type="gramEnd"/>
      <w:r w:rsidRPr="00DB6AE9">
        <w:rPr>
          <w:rFonts w:ascii="Times New Roman" w:hAnsi="Times New Roman" w:cs="Times New Roman"/>
          <w:sz w:val="24"/>
          <w:szCs w:val="24"/>
        </w:rPr>
        <w:t xml:space="preserve"> değerinin minimum 8 olduğunu gösteren akredite edilmiş bir kurumdan alınan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Polietilen plakaların (kahverengi, krem, kırmızı, mor, mavi, pembe, sarı, </w:t>
      </w:r>
      <w:proofErr w:type="spellStart"/>
      <w:r w:rsidRPr="00DB6AE9">
        <w:rPr>
          <w:rFonts w:ascii="Times New Roman" w:hAnsi="Times New Roman" w:cs="Times New Roman"/>
          <w:sz w:val="24"/>
          <w:szCs w:val="24"/>
        </w:rPr>
        <w:t>fuşya</w:t>
      </w:r>
      <w:proofErr w:type="spellEnd"/>
      <w:r w:rsidRPr="00DB6AE9">
        <w:rPr>
          <w:rFonts w:ascii="Times New Roman" w:hAnsi="Times New Roman" w:cs="Times New Roman"/>
          <w:sz w:val="24"/>
          <w:szCs w:val="24"/>
        </w:rPr>
        <w:t xml:space="preserve">, gri, yeşil, turkuaz renklerde) TS EN ISO 4892-2 standardı metot A döngü 1’ göre doksan altı saat Ksenon ark lambasına maruz bırakma testine tabi tutulması sonucunda gri </w:t>
      </w:r>
      <w:proofErr w:type="gramStart"/>
      <w:r w:rsidRPr="00DB6AE9">
        <w:rPr>
          <w:rFonts w:ascii="Times New Roman" w:hAnsi="Times New Roman" w:cs="Times New Roman"/>
          <w:sz w:val="24"/>
          <w:szCs w:val="24"/>
        </w:rPr>
        <w:t>skala</w:t>
      </w:r>
      <w:proofErr w:type="gramEnd"/>
      <w:r w:rsidRPr="00DB6AE9">
        <w:rPr>
          <w:rFonts w:ascii="Times New Roman" w:hAnsi="Times New Roman" w:cs="Times New Roman"/>
          <w:sz w:val="24"/>
          <w:szCs w:val="24"/>
        </w:rPr>
        <w:t xml:space="preserve"> değerlerinin 4 ve üzeri olduğunu gösteren TÜRKAK tarafından onaylı bir laboratuvardan alınmış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lastRenderedPageBreak/>
        <w:t>Galvaniz kaplanmış çelik parçaların (cıvata, somun) TS EN ISO 9227 standardına göre 100 saatlik NSS testine TÜRKAK tarafından onaylanmış bir laboratuvar tarafından tabi tutulduğunda kırmızı pas oluşmadığını gösteren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Polietilen plakaların (turuncu, sarı, mavi renklerde) insan vücuduna girerek DNA'da mutasyona sebep olan </w:t>
      </w:r>
      <w:proofErr w:type="spellStart"/>
      <w:r w:rsidRPr="00DB6AE9">
        <w:rPr>
          <w:rFonts w:ascii="Times New Roman" w:hAnsi="Times New Roman" w:cs="Times New Roman"/>
          <w:sz w:val="24"/>
          <w:szCs w:val="24"/>
        </w:rPr>
        <w:t>polyaromatik</w:t>
      </w:r>
      <w:proofErr w:type="spellEnd"/>
      <w:r w:rsidRPr="00DB6AE9">
        <w:rPr>
          <w:rFonts w:ascii="Times New Roman" w:hAnsi="Times New Roman" w:cs="Times New Roman"/>
          <w:sz w:val="24"/>
          <w:szCs w:val="24"/>
        </w:rPr>
        <w:t xml:space="preserve"> hidrokarbonların </w:t>
      </w:r>
      <w:proofErr w:type="spellStart"/>
      <w:r w:rsidRPr="00DB6AE9">
        <w:rPr>
          <w:rFonts w:ascii="Times New Roman" w:hAnsi="Times New Roman" w:cs="Times New Roman"/>
          <w:sz w:val="24"/>
          <w:szCs w:val="24"/>
        </w:rPr>
        <w:t>AfPS</w:t>
      </w:r>
      <w:proofErr w:type="spellEnd"/>
      <w:r w:rsidRPr="00DB6AE9">
        <w:rPr>
          <w:rFonts w:ascii="Times New Roman" w:hAnsi="Times New Roman" w:cs="Times New Roman"/>
          <w:sz w:val="24"/>
          <w:szCs w:val="24"/>
        </w:rPr>
        <w:t xml:space="preserve"> GS 2014:01 standardına göre uygulanan testte sınır değerlerin altında olduğunu gösteren TÜRKAK tarafından onaylı bir laboratuvardan alınmış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Sarı plastik malzemenin TS EN 71-3:2019 standardına uygun olarak akredite edilmiş bir laboratuvar tarafından incelendiğinde çocuk sağlığına zararlı elementlerin bulunmadığını gösteren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b/>
          <w:bCs/>
          <w:sz w:val="24"/>
          <w:szCs w:val="24"/>
        </w:rPr>
        <w:t>Ekonomik yeterlilik belgeleri,</w:t>
      </w:r>
    </w:p>
    <w:p w:rsidR="00253625" w:rsidRPr="00DB6AE9" w:rsidRDefault="00253625" w:rsidP="00253625">
      <w:pPr>
        <w:pStyle w:val="ListeParagraf"/>
        <w:numPr>
          <w:ilvl w:val="0"/>
          <w:numId w:val="22"/>
        </w:numPr>
        <w:spacing w:after="0"/>
        <w:jc w:val="both"/>
        <w:rPr>
          <w:rFonts w:ascii="Times New Roman" w:hAnsi="Times New Roman" w:cs="Times New Roman"/>
          <w:b/>
          <w:bCs/>
          <w:sz w:val="24"/>
          <w:szCs w:val="24"/>
        </w:rPr>
      </w:pPr>
      <w:r w:rsidRPr="00DB6AE9">
        <w:rPr>
          <w:rFonts w:ascii="Times New Roman" w:hAnsi="Times New Roman" w:cs="Times New Roman"/>
          <w:b/>
          <w:bCs/>
          <w:sz w:val="24"/>
          <w:szCs w:val="24"/>
        </w:rPr>
        <w:t>İsteklinin ihalenin yapıldığı yıldan önceki yıla ait yılsonu bilançosu veya eşdeğer belgeleri:</w:t>
      </w:r>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a) İlgili mevzuatı uyarınca bilançosunu yayımlatma zorunluluğu olan isteklilerin, yılsonu bilançosunu veya bilançonun gerekli </w:t>
      </w:r>
      <w:proofErr w:type="gramStart"/>
      <w:r w:rsidRPr="00DB6AE9">
        <w:rPr>
          <w:rFonts w:ascii="Times New Roman" w:hAnsi="Times New Roman" w:cs="Times New Roman"/>
          <w:sz w:val="24"/>
          <w:szCs w:val="24"/>
        </w:rPr>
        <w:t>kriterlerin</w:t>
      </w:r>
      <w:proofErr w:type="gramEnd"/>
      <w:r w:rsidRPr="00DB6AE9">
        <w:rPr>
          <w:rFonts w:ascii="Times New Roman" w:hAnsi="Times New Roman" w:cs="Times New Roman"/>
          <w:sz w:val="24"/>
          <w:szCs w:val="24"/>
        </w:rPr>
        <w:t xml:space="preserve"> sağlandığını gösteren bölümlerini, </w:t>
      </w:r>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b) İlgili mevzuatı uyarınca bilançosunu yayımlatma zorunluluğu olmayan isteklilerin, yılsonu bilançosunu veya bilançonun gerekli </w:t>
      </w:r>
      <w:proofErr w:type="gramStart"/>
      <w:r w:rsidRPr="00DB6AE9">
        <w:rPr>
          <w:rFonts w:ascii="Times New Roman" w:hAnsi="Times New Roman" w:cs="Times New Roman"/>
          <w:sz w:val="24"/>
          <w:szCs w:val="24"/>
        </w:rPr>
        <w:t>kriterlerin</w:t>
      </w:r>
      <w:proofErr w:type="gramEnd"/>
      <w:r w:rsidRPr="00DB6AE9">
        <w:rPr>
          <w:rFonts w:ascii="Times New Roman" w:hAnsi="Times New Roman" w:cs="Times New Roman"/>
          <w:sz w:val="24"/>
          <w:szCs w:val="24"/>
        </w:rPr>
        <w:t xml:space="preserve"> sağlandığını gösteren bölümlerini ya da bu kriterlerin sağlandığını göstermek üzere yeminli mali müşavir veya serbest muhasebeci mali müşavir tarafından standart forma uygun olarak düzenlenen belgeyi (Standart Form-KİK026.1/M) sunmaları gerekmektedir. </w:t>
      </w:r>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Sunulan bilanço veya eşdeğer belgelerde; </w:t>
      </w:r>
    </w:p>
    <w:p w:rsidR="00253625" w:rsidRPr="00DB6AE9" w:rsidRDefault="00253625" w:rsidP="00253625">
      <w:pPr>
        <w:pStyle w:val="ListeParagraf"/>
        <w:spacing w:after="0"/>
        <w:ind w:left="375"/>
        <w:jc w:val="both"/>
        <w:rPr>
          <w:rFonts w:ascii="Times New Roman" w:hAnsi="Times New Roman" w:cs="Times New Roman"/>
          <w:sz w:val="24"/>
          <w:szCs w:val="24"/>
        </w:rPr>
      </w:pPr>
      <w:proofErr w:type="gramStart"/>
      <w:r w:rsidRPr="00DB6AE9">
        <w:rPr>
          <w:rFonts w:ascii="Times New Roman" w:hAnsi="Times New Roman" w:cs="Times New Roman"/>
          <w:sz w:val="24"/>
          <w:szCs w:val="24"/>
        </w:rPr>
        <w:t xml:space="preserve">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w:t>
      </w:r>
      <w:proofErr w:type="spellStart"/>
      <w:r w:rsidRPr="00DB6AE9">
        <w:rPr>
          <w:rFonts w:ascii="Times New Roman" w:hAnsi="Times New Roman" w:cs="Times New Roman"/>
          <w:sz w:val="24"/>
          <w:szCs w:val="24"/>
        </w:rPr>
        <w:t>hakediş</w:t>
      </w:r>
      <w:proofErr w:type="spellEnd"/>
      <w:r w:rsidRPr="00DB6AE9">
        <w:rPr>
          <w:rFonts w:ascii="Times New Roman" w:hAnsi="Times New Roman" w:cs="Times New Roman"/>
          <w:sz w:val="24"/>
          <w:szCs w:val="24"/>
        </w:rPr>
        <w:t xml:space="preserve"> gelirleri ise kısa vadeli borçlardan düşülecektir), </w:t>
      </w:r>
      <w:proofErr w:type="gramEnd"/>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b) Aktif varlıkların ne kadarının öz kaynaklardan oluştuğunu gösteren öz kaynak oranının (öz kaynaklar/toplam aktif) en az 0,15 olması, (hesaplama yapılırken, yıllara yaygın inşaat maliyetleri toplam aktiflerden düşülecektir), </w:t>
      </w:r>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c) Kısa vadeli banka borçlarının öz kaynaklara oranının 0,50'den küçük olması,</w:t>
      </w:r>
    </w:p>
    <w:p w:rsidR="00253625" w:rsidRPr="00DB6AE9" w:rsidRDefault="00253625" w:rsidP="00253625">
      <w:pPr>
        <w:pStyle w:val="ListeParagraf"/>
        <w:spacing w:after="0"/>
        <w:ind w:left="375"/>
        <w:jc w:val="both"/>
        <w:rPr>
          <w:rFonts w:ascii="Times New Roman" w:hAnsi="Times New Roman" w:cs="Times New Roman"/>
          <w:sz w:val="24"/>
          <w:szCs w:val="24"/>
        </w:rPr>
      </w:pPr>
      <w:proofErr w:type="gramStart"/>
      <w:r w:rsidRPr="00DB6AE9">
        <w:rPr>
          <w:rFonts w:ascii="Times New Roman" w:hAnsi="Times New Roman" w:cs="Times New Roman"/>
          <w:sz w:val="24"/>
          <w:szCs w:val="24"/>
        </w:rPr>
        <w:t>ve</w:t>
      </w:r>
      <w:proofErr w:type="gramEnd"/>
      <w:r w:rsidRPr="00DB6AE9">
        <w:rPr>
          <w:rFonts w:ascii="Times New Roman" w:hAnsi="Times New Roman" w:cs="Times New Roman"/>
          <w:sz w:val="24"/>
          <w:szCs w:val="24"/>
        </w:rPr>
        <w:t xml:space="preserve"> belirtilen üç kriterin birlikte sağlanması zorunludur. Sunulan bilançolarda varsa yıllara yaygın inşaat maliyetleri ile </w:t>
      </w:r>
      <w:proofErr w:type="spellStart"/>
      <w:r w:rsidRPr="00DB6AE9">
        <w:rPr>
          <w:rFonts w:ascii="Times New Roman" w:hAnsi="Times New Roman" w:cs="Times New Roman"/>
          <w:sz w:val="24"/>
          <w:szCs w:val="24"/>
        </w:rPr>
        <w:t>hakediş</w:t>
      </w:r>
      <w:proofErr w:type="spellEnd"/>
      <w:r w:rsidRPr="00DB6AE9">
        <w:rPr>
          <w:rFonts w:ascii="Times New Roman" w:hAnsi="Times New Roman" w:cs="Times New Roman"/>
          <w:sz w:val="24"/>
          <w:szCs w:val="24"/>
        </w:rPr>
        <w:t xml:space="preserve"> gelirleri gösterilmelidir. </w:t>
      </w:r>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Yukarıda belirtilen </w:t>
      </w:r>
      <w:proofErr w:type="gramStart"/>
      <w:r w:rsidRPr="00DB6AE9">
        <w:rPr>
          <w:rFonts w:ascii="Times New Roman" w:hAnsi="Times New Roman" w:cs="Times New Roman"/>
          <w:sz w:val="24"/>
          <w:szCs w:val="24"/>
        </w:rPr>
        <w:t>kriterleri</w:t>
      </w:r>
      <w:proofErr w:type="gramEnd"/>
      <w:r w:rsidRPr="00DB6AE9">
        <w:rPr>
          <w:rFonts w:ascii="Times New Roman" w:hAnsi="Times New Roman" w:cs="Times New Roman"/>
          <w:sz w:val="24"/>
          <w:szCs w:val="24"/>
        </w:rPr>
        <w:t xml:space="preserve"> bir önceki yılda sağlayamayanlar, son iki yıla ait belgelerini sunabilirler. Bu takdirde, son iki yılın parasal tutarlarının ortalaması üzerinden yeterlik </w:t>
      </w:r>
      <w:proofErr w:type="gramStart"/>
      <w:r w:rsidRPr="00DB6AE9">
        <w:rPr>
          <w:rFonts w:ascii="Times New Roman" w:hAnsi="Times New Roman" w:cs="Times New Roman"/>
          <w:sz w:val="24"/>
          <w:szCs w:val="24"/>
        </w:rPr>
        <w:t>kriterlerinin</w:t>
      </w:r>
      <w:proofErr w:type="gramEnd"/>
      <w:r w:rsidRPr="00DB6AE9">
        <w:rPr>
          <w:rFonts w:ascii="Times New Roman" w:hAnsi="Times New Roman" w:cs="Times New Roman"/>
          <w:sz w:val="24"/>
          <w:szCs w:val="24"/>
        </w:rPr>
        <w:t xml:space="preserve"> sağlanıp sağlanmadığına bakılır.</w:t>
      </w:r>
    </w:p>
    <w:p w:rsidR="00B84580" w:rsidRPr="00DB6AE9" w:rsidRDefault="00B84580" w:rsidP="007D2141">
      <w:pPr>
        <w:spacing w:after="0"/>
        <w:rPr>
          <w:rFonts w:ascii="Times New Roman" w:hAnsi="Times New Roman" w:cs="Times New Roman"/>
          <w:noProof/>
          <w:sz w:val="24"/>
          <w:szCs w:val="24"/>
          <w:lang w:eastAsia="tr-TR"/>
        </w:rPr>
      </w:pPr>
    </w:p>
    <w:p w:rsidR="00B84580" w:rsidRPr="00DB6AE9" w:rsidRDefault="00B84580" w:rsidP="00750B82">
      <w:pPr>
        <w:spacing w:after="0"/>
        <w:jc w:val="center"/>
        <w:rPr>
          <w:rFonts w:ascii="Times New Roman" w:hAnsi="Times New Roman" w:cs="Times New Roman"/>
          <w:sz w:val="24"/>
          <w:szCs w:val="24"/>
        </w:rPr>
      </w:pPr>
    </w:p>
    <w:p w:rsidR="00130E78" w:rsidRPr="00DB6AE9" w:rsidRDefault="00130E78" w:rsidP="00750B82">
      <w:pPr>
        <w:spacing w:after="0"/>
        <w:jc w:val="center"/>
        <w:rPr>
          <w:rFonts w:ascii="Times New Roman" w:hAnsi="Times New Roman" w:cs="Times New Roman"/>
          <w:sz w:val="24"/>
          <w:szCs w:val="24"/>
        </w:rPr>
      </w:pPr>
    </w:p>
    <w:p w:rsidR="00DB6AE9" w:rsidRPr="00DB6AE9" w:rsidRDefault="00DB6AE9" w:rsidP="00DB6AE9">
      <w:pPr>
        <w:spacing w:after="0"/>
        <w:rPr>
          <w:rFonts w:ascii="Times New Roman" w:hAnsi="Times New Roman" w:cs="Times New Roman"/>
          <w:b/>
          <w:noProof/>
          <w:sz w:val="24"/>
          <w:szCs w:val="24"/>
          <w:lang w:eastAsia="tr-TR"/>
        </w:rPr>
      </w:pPr>
    </w:p>
    <w:p w:rsidR="00DB6AE9" w:rsidRPr="00DB6AE9" w:rsidRDefault="00DB6AE9" w:rsidP="00DB6AE9">
      <w:pPr>
        <w:spacing w:after="0"/>
        <w:jc w:val="center"/>
        <w:rPr>
          <w:rFonts w:ascii="Times New Roman" w:hAnsi="Times New Roman" w:cs="Times New Roman"/>
          <w:b/>
          <w:sz w:val="24"/>
          <w:szCs w:val="24"/>
        </w:rPr>
      </w:pPr>
    </w:p>
    <w:p w:rsidR="00DB6AE9" w:rsidRPr="00DB6AE9" w:rsidRDefault="00DB6AE9" w:rsidP="00DB6AE9">
      <w:pPr>
        <w:spacing w:after="0"/>
        <w:ind w:firstLine="708"/>
        <w:jc w:val="center"/>
        <w:rPr>
          <w:rFonts w:ascii="Times New Roman" w:hAnsi="Times New Roman" w:cs="Times New Roman"/>
          <w:b/>
          <w:noProof/>
          <w:sz w:val="24"/>
          <w:szCs w:val="24"/>
          <w:lang w:eastAsia="tr-TR"/>
        </w:rPr>
      </w:pPr>
    </w:p>
    <w:p w:rsidR="00D14AE2" w:rsidRPr="006F28F7" w:rsidRDefault="00D14AE2" w:rsidP="00D14AE2">
      <w:pPr>
        <w:spacing w:after="0"/>
        <w:jc w:val="center"/>
        <w:rPr>
          <w:rFonts w:ascii="Times New Roman" w:hAnsi="Times New Roman" w:cs="Times New Roman"/>
          <w:b/>
          <w:sz w:val="24"/>
          <w:szCs w:val="24"/>
        </w:rPr>
      </w:pPr>
    </w:p>
    <w:p w:rsidR="00D14AE2" w:rsidRDefault="00D14AE2" w:rsidP="00D14AE2">
      <w:pPr>
        <w:spacing w:after="0"/>
        <w:ind w:firstLine="708"/>
        <w:jc w:val="center"/>
        <w:rPr>
          <w:rFonts w:ascii="Times New Roman" w:hAnsi="Times New Roman" w:cs="Times New Roman"/>
          <w:b/>
          <w:noProof/>
          <w:sz w:val="24"/>
          <w:szCs w:val="24"/>
          <w:lang w:eastAsia="tr-TR"/>
        </w:rPr>
      </w:pPr>
    </w:p>
    <w:p w:rsidR="00E003EC" w:rsidRPr="005E1DC1" w:rsidRDefault="00E003EC" w:rsidP="00E003EC">
      <w:pPr>
        <w:spacing w:after="0"/>
        <w:jc w:val="center"/>
        <w:rPr>
          <w:rFonts w:ascii="Times New Roman" w:hAnsi="Times New Roman" w:cs="Times New Roman"/>
          <w:sz w:val="24"/>
          <w:szCs w:val="24"/>
        </w:rPr>
      </w:pPr>
    </w:p>
    <w:p w:rsidR="00E003EC" w:rsidRDefault="00E003EC" w:rsidP="00E003EC">
      <w:pPr>
        <w:spacing w:after="0"/>
        <w:jc w:val="center"/>
        <w:rPr>
          <w:rFonts w:ascii="Times New Roman" w:hAnsi="Times New Roman" w:cs="Times New Roman"/>
          <w:b/>
          <w:noProof/>
          <w:sz w:val="24"/>
          <w:szCs w:val="24"/>
          <w:lang w:eastAsia="tr-TR"/>
        </w:rPr>
      </w:pPr>
    </w:p>
    <w:p w:rsidR="00E003EC" w:rsidRDefault="00F969A0" w:rsidP="00E003EC">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097852" cy="21145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102 (1).png"/>
                    <pic:cNvPicPr/>
                  </pic:nvPicPr>
                  <pic:blipFill rotWithShape="1">
                    <a:blip r:embed="rId6" cstate="print">
                      <a:extLst>
                        <a:ext uri="{28A0092B-C50C-407E-A947-70E740481C1C}">
                          <a14:useLocalDpi xmlns:a14="http://schemas.microsoft.com/office/drawing/2010/main" val="0"/>
                        </a:ext>
                      </a:extLst>
                    </a:blip>
                    <a:srcRect l="27613" t="53498" r="25926" b="3880"/>
                    <a:stretch/>
                  </pic:blipFill>
                  <pic:spPr bwMode="auto">
                    <a:xfrm>
                      <a:off x="0" y="0"/>
                      <a:ext cx="4099693" cy="2115500"/>
                    </a:xfrm>
                    <a:prstGeom prst="rect">
                      <a:avLst/>
                    </a:prstGeom>
                    <a:ln>
                      <a:noFill/>
                    </a:ln>
                    <a:extLst>
                      <a:ext uri="{53640926-AAD7-44D8-BBD7-CCE9431645EC}">
                        <a14:shadowObscured xmlns:a14="http://schemas.microsoft.com/office/drawing/2010/main"/>
                      </a:ext>
                    </a:extLst>
                  </pic:spPr>
                </pic:pic>
              </a:graphicData>
            </a:graphic>
          </wp:inline>
        </w:drawing>
      </w:r>
    </w:p>
    <w:p w:rsidR="001A4F2E" w:rsidRPr="005E1DC1" w:rsidRDefault="00441AFC" w:rsidP="00E003EC">
      <w:pPr>
        <w:spacing w:after="0"/>
        <w:jc w:val="center"/>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261.75pt">
            <v:imagedata r:id="rId7" o:title="MT 102" croptop="5473f" cropbottom="11086f" cropleft="2496f" cropright="6293f"/>
          </v:shape>
        </w:pict>
      </w:r>
    </w:p>
    <w:p w:rsidR="00E003EC" w:rsidRPr="005E1DC1" w:rsidRDefault="00E003EC" w:rsidP="001A4F2E">
      <w:pPr>
        <w:spacing w:after="0"/>
        <w:rPr>
          <w:rFonts w:ascii="Times New Roman" w:hAnsi="Times New Roman" w:cs="Times New Roman"/>
          <w:b/>
          <w:sz w:val="24"/>
          <w:szCs w:val="24"/>
        </w:rPr>
      </w:pPr>
    </w:p>
    <w:p w:rsidR="00B450DC" w:rsidRPr="00DB6AE9" w:rsidRDefault="00B450DC" w:rsidP="00F969A0">
      <w:pPr>
        <w:spacing w:after="0"/>
        <w:rPr>
          <w:rFonts w:ascii="Times New Roman" w:hAnsi="Times New Roman" w:cs="Times New Roman"/>
          <w:b/>
          <w:noProof/>
          <w:sz w:val="24"/>
          <w:szCs w:val="24"/>
          <w:lang w:eastAsia="tr-TR"/>
        </w:rPr>
      </w:pPr>
    </w:p>
    <w:p w:rsidR="00B450DC" w:rsidRPr="00DB6AE9" w:rsidRDefault="001A4F2E" w:rsidP="00815E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Polietilen tırmanma oyun elemanı </w:t>
      </w:r>
      <w:r w:rsidR="000B4179" w:rsidRPr="00DB6AE9">
        <w:rPr>
          <w:rFonts w:ascii="Times New Roman" w:hAnsi="Times New Roman" w:cs="Times New Roman"/>
          <w:sz w:val="24"/>
          <w:szCs w:val="24"/>
        </w:rPr>
        <w:t>1</w:t>
      </w:r>
      <w:r w:rsidR="00D40089" w:rsidRPr="00DB6AE9">
        <w:rPr>
          <w:rFonts w:ascii="Times New Roman" w:hAnsi="Times New Roman" w:cs="Times New Roman"/>
          <w:sz w:val="24"/>
          <w:szCs w:val="24"/>
        </w:rPr>
        <w:t>1</w:t>
      </w:r>
      <w:r>
        <w:rPr>
          <w:rFonts w:ascii="Times New Roman" w:hAnsi="Times New Roman" w:cs="Times New Roman"/>
          <w:sz w:val="24"/>
          <w:szCs w:val="24"/>
        </w:rPr>
        <w:t>6</w:t>
      </w:r>
      <w:r w:rsidR="00D40089" w:rsidRPr="00DB6AE9">
        <w:rPr>
          <w:rFonts w:ascii="Times New Roman" w:hAnsi="Times New Roman" w:cs="Times New Roman"/>
          <w:sz w:val="24"/>
          <w:szCs w:val="24"/>
        </w:rPr>
        <w:t>00 x 11</w:t>
      </w:r>
      <w:r>
        <w:rPr>
          <w:rFonts w:ascii="Times New Roman" w:hAnsi="Times New Roman" w:cs="Times New Roman"/>
          <w:sz w:val="24"/>
          <w:szCs w:val="24"/>
        </w:rPr>
        <w:t>6</w:t>
      </w:r>
      <w:r w:rsidR="00D40089" w:rsidRPr="00DB6AE9">
        <w:rPr>
          <w:rFonts w:ascii="Times New Roman" w:hAnsi="Times New Roman" w:cs="Times New Roman"/>
          <w:sz w:val="24"/>
          <w:szCs w:val="24"/>
        </w:rPr>
        <w:t xml:space="preserve">00 </w:t>
      </w:r>
      <w:r w:rsidR="000B4179" w:rsidRPr="00DB6AE9">
        <w:rPr>
          <w:rFonts w:ascii="Times New Roman" w:hAnsi="Times New Roman" w:cs="Times New Roman"/>
          <w:sz w:val="24"/>
          <w:szCs w:val="24"/>
        </w:rPr>
        <w:t>x</w:t>
      </w:r>
      <w:r w:rsidR="00D40089" w:rsidRPr="00DB6AE9">
        <w:rPr>
          <w:rFonts w:ascii="Times New Roman" w:hAnsi="Times New Roman" w:cs="Times New Roman"/>
          <w:sz w:val="24"/>
          <w:szCs w:val="24"/>
        </w:rPr>
        <w:t xml:space="preserve"> </w:t>
      </w:r>
      <w:r>
        <w:rPr>
          <w:rFonts w:ascii="Times New Roman" w:hAnsi="Times New Roman" w:cs="Times New Roman"/>
          <w:sz w:val="24"/>
          <w:szCs w:val="24"/>
        </w:rPr>
        <w:t xml:space="preserve">3000 mm boyutlarında </w:t>
      </w:r>
      <w:r w:rsidR="000B4179" w:rsidRPr="00DB6AE9">
        <w:rPr>
          <w:rFonts w:ascii="Times New Roman" w:hAnsi="Times New Roman" w:cs="Times New Roman"/>
          <w:sz w:val="24"/>
          <w:szCs w:val="24"/>
        </w:rPr>
        <w:t>polietilen</w:t>
      </w:r>
      <w:r w:rsidR="00DA5D56" w:rsidRPr="00DB6AE9">
        <w:rPr>
          <w:rFonts w:ascii="Times New Roman" w:hAnsi="Times New Roman" w:cs="Times New Roman"/>
          <w:sz w:val="24"/>
          <w:szCs w:val="24"/>
        </w:rPr>
        <w:t xml:space="preserve"> </w:t>
      </w:r>
      <w:r w:rsidR="000B4179" w:rsidRPr="00DB6AE9">
        <w:rPr>
          <w:rFonts w:ascii="Times New Roman" w:hAnsi="Times New Roman" w:cs="Times New Roman"/>
          <w:sz w:val="24"/>
          <w:szCs w:val="24"/>
        </w:rPr>
        <w:t>malzemeden üretilecektir. Parçanın tüm kenarları yaralanmayı önlemek amacıyla minimum R6 mm ve TSE standartlarına uygun üretilen parçada herhangi bir sivri veya dik köşe olmayacaktır</w:t>
      </w:r>
      <w:r w:rsidR="00671853" w:rsidRPr="00DB6AE9">
        <w:rPr>
          <w:rFonts w:ascii="Times New Roman" w:hAnsi="Times New Roman" w:cs="Times New Roman"/>
          <w:sz w:val="24"/>
          <w:szCs w:val="24"/>
        </w:rPr>
        <w:t>. Parça yüzeyinde çatlak, oyuk vs. dış etkenler ile oluşmuş hata bulunmayacaktır.</w:t>
      </w:r>
      <w:r w:rsidR="00A23131" w:rsidRPr="00DB6AE9">
        <w:rPr>
          <w:rFonts w:ascii="Times New Roman" w:hAnsi="Times New Roman" w:cs="Times New Roman"/>
          <w:sz w:val="24"/>
          <w:szCs w:val="24"/>
        </w:rPr>
        <w:t xml:space="preserve"> Parçalar teknik resimde görüldüğü </w:t>
      </w:r>
      <w:r w:rsidR="001B2B65" w:rsidRPr="00DB6AE9">
        <w:rPr>
          <w:rFonts w:ascii="Times New Roman" w:hAnsi="Times New Roman" w:cs="Times New Roman"/>
          <w:sz w:val="24"/>
          <w:szCs w:val="24"/>
        </w:rPr>
        <w:t>şekilde</w:t>
      </w:r>
      <w:r w:rsidR="00A23131" w:rsidRPr="00DB6AE9">
        <w:rPr>
          <w:rFonts w:ascii="Times New Roman" w:hAnsi="Times New Roman" w:cs="Times New Roman"/>
          <w:sz w:val="24"/>
          <w:szCs w:val="24"/>
        </w:rPr>
        <w:t xml:space="preserve"> </w:t>
      </w:r>
      <w:r w:rsidR="001B2B65" w:rsidRPr="00DB6AE9">
        <w:rPr>
          <w:rFonts w:ascii="Times New Roman" w:hAnsi="Times New Roman" w:cs="Times New Roman"/>
          <w:sz w:val="24"/>
          <w:szCs w:val="24"/>
        </w:rPr>
        <w:t>birleştirecek</w:t>
      </w:r>
      <w:r w:rsidR="00B32126" w:rsidRPr="00DB6AE9">
        <w:rPr>
          <w:rFonts w:ascii="Times New Roman" w:hAnsi="Times New Roman" w:cs="Times New Roman"/>
          <w:sz w:val="24"/>
          <w:szCs w:val="24"/>
        </w:rPr>
        <w:t xml:space="preserve"> olup gerek</w:t>
      </w:r>
      <w:r w:rsidR="00A23131" w:rsidRPr="00DB6AE9">
        <w:rPr>
          <w:rFonts w:ascii="Times New Roman" w:hAnsi="Times New Roman" w:cs="Times New Roman"/>
          <w:sz w:val="24"/>
          <w:szCs w:val="24"/>
        </w:rPr>
        <w:t>medikçe bağla</w:t>
      </w:r>
      <w:r w:rsidR="00142399" w:rsidRPr="00DB6AE9">
        <w:rPr>
          <w:rFonts w:ascii="Times New Roman" w:hAnsi="Times New Roman" w:cs="Times New Roman"/>
          <w:sz w:val="24"/>
          <w:szCs w:val="24"/>
        </w:rPr>
        <w:t>n</w:t>
      </w:r>
      <w:r w:rsidR="00A23131" w:rsidRPr="00DB6AE9">
        <w:rPr>
          <w:rFonts w:ascii="Times New Roman" w:hAnsi="Times New Roman" w:cs="Times New Roman"/>
          <w:sz w:val="24"/>
          <w:szCs w:val="24"/>
        </w:rPr>
        <w:t>tı elemanı bulunmayacaktır</w:t>
      </w:r>
      <w:r w:rsidR="000B4179" w:rsidRPr="00DB6AE9">
        <w:rPr>
          <w:rFonts w:ascii="Times New Roman" w:hAnsi="Times New Roman" w:cs="Times New Roman"/>
          <w:sz w:val="24"/>
          <w:szCs w:val="24"/>
        </w:rPr>
        <w:t>. Oluşturulan daireler metal malzemeden üretilecek özel bağlantı elemanları ile birleştirilecektir.</w:t>
      </w:r>
      <w:r w:rsidR="00DB6A1A" w:rsidRPr="00DB6AE9">
        <w:rPr>
          <w:rFonts w:ascii="Times New Roman" w:hAnsi="Times New Roman" w:cs="Times New Roman"/>
          <w:sz w:val="24"/>
          <w:szCs w:val="24"/>
        </w:rPr>
        <w:t xml:space="preserve"> </w:t>
      </w:r>
    </w:p>
    <w:p w:rsidR="005C49C7" w:rsidRPr="00DB6AE9" w:rsidRDefault="005C49C7" w:rsidP="00692B26">
      <w:pPr>
        <w:spacing w:after="0"/>
        <w:rPr>
          <w:rFonts w:ascii="Times New Roman" w:hAnsi="Times New Roman" w:cs="Times New Roman"/>
          <w:b/>
          <w:bCs/>
          <w:sz w:val="24"/>
          <w:szCs w:val="24"/>
        </w:rPr>
      </w:pPr>
    </w:p>
    <w:p w:rsidR="002B3C49" w:rsidRPr="00DB6AE9" w:rsidRDefault="0049242C" w:rsidP="00E511DD">
      <w:pPr>
        <w:spacing w:after="0"/>
        <w:jc w:val="center"/>
        <w:rPr>
          <w:rFonts w:ascii="Times New Roman" w:hAnsi="Times New Roman" w:cs="Times New Roman"/>
          <w:b/>
          <w:bCs/>
          <w:sz w:val="24"/>
          <w:szCs w:val="24"/>
        </w:rPr>
      </w:pPr>
      <w:r w:rsidRPr="00DB6AE9">
        <w:rPr>
          <w:rFonts w:ascii="Times New Roman" w:hAnsi="Times New Roman" w:cs="Times New Roman"/>
          <w:b/>
          <w:bCs/>
          <w:sz w:val="24"/>
          <w:szCs w:val="24"/>
        </w:rPr>
        <w:t xml:space="preserve">BETON </w:t>
      </w:r>
      <w:r w:rsidR="00C5079B" w:rsidRPr="00DB6AE9">
        <w:rPr>
          <w:rFonts w:ascii="Times New Roman" w:hAnsi="Times New Roman" w:cs="Times New Roman"/>
          <w:b/>
          <w:bCs/>
          <w:sz w:val="24"/>
          <w:szCs w:val="24"/>
        </w:rPr>
        <w:t>Z</w:t>
      </w:r>
      <w:r w:rsidR="0002504E" w:rsidRPr="00DB6AE9">
        <w:rPr>
          <w:rFonts w:ascii="Times New Roman" w:hAnsi="Times New Roman" w:cs="Times New Roman"/>
          <w:b/>
          <w:bCs/>
          <w:sz w:val="24"/>
          <w:szCs w:val="24"/>
        </w:rPr>
        <w:t>EMİNE MONTAJ DETAYLARI</w:t>
      </w:r>
      <w:bookmarkStart w:id="0" w:name="_GoBack"/>
      <w:bookmarkEnd w:id="0"/>
    </w:p>
    <w:p w:rsidR="003F50AD" w:rsidRPr="00DB6AE9" w:rsidRDefault="0002504E" w:rsidP="00750B82">
      <w:pPr>
        <w:spacing w:after="0"/>
        <w:ind w:firstLine="708"/>
        <w:jc w:val="both"/>
        <w:rPr>
          <w:rFonts w:ascii="Times New Roman" w:hAnsi="Times New Roman" w:cs="Times New Roman"/>
          <w:sz w:val="24"/>
          <w:szCs w:val="24"/>
        </w:rPr>
      </w:pPr>
      <w:r w:rsidRPr="00DB6AE9">
        <w:rPr>
          <w:rFonts w:ascii="Times New Roman" w:hAnsi="Times New Roman" w:cs="Times New Roman"/>
          <w:sz w:val="24"/>
          <w:szCs w:val="24"/>
        </w:rPr>
        <w:t>Oyun grubu kurulacak olan alanın betonu terazili bir biçimde atılmış olması gerekmektedir.</w:t>
      </w:r>
      <w:r w:rsidR="00FB35FD" w:rsidRPr="00DB6AE9">
        <w:rPr>
          <w:rFonts w:ascii="Times New Roman" w:hAnsi="Times New Roman" w:cs="Times New Roman"/>
          <w:sz w:val="24"/>
          <w:szCs w:val="24"/>
        </w:rPr>
        <w:t xml:space="preserve"> </w:t>
      </w:r>
      <w:r w:rsidR="00D466F6" w:rsidRPr="00DB6AE9">
        <w:rPr>
          <w:rFonts w:ascii="Times New Roman" w:hAnsi="Times New Roman" w:cs="Times New Roman"/>
          <w:sz w:val="24"/>
          <w:szCs w:val="24"/>
        </w:rPr>
        <w:t>T</w:t>
      </w:r>
      <w:r w:rsidR="00D30463" w:rsidRPr="00DB6AE9">
        <w:rPr>
          <w:rFonts w:ascii="Times New Roman" w:hAnsi="Times New Roman" w:cs="Times New Roman"/>
          <w:sz w:val="24"/>
          <w:szCs w:val="24"/>
        </w:rPr>
        <w:t xml:space="preserve">abanında zemine sabitlenmesi ve yük dağılımını sağlamak için oyun evi taşıyıcı tabanında tabla bulunacaktır. Oyun </w:t>
      </w:r>
      <w:r w:rsidRPr="00DB6AE9">
        <w:rPr>
          <w:rFonts w:ascii="Times New Roman" w:hAnsi="Times New Roman" w:cs="Times New Roman"/>
          <w:sz w:val="24"/>
          <w:szCs w:val="24"/>
        </w:rPr>
        <w:t xml:space="preserve">grubu teraziye alındıktan sonra </w:t>
      </w:r>
      <w:r w:rsidR="00D466F6" w:rsidRPr="00DB6AE9">
        <w:rPr>
          <w:rFonts w:ascii="Times New Roman" w:hAnsi="Times New Roman" w:cs="Times New Roman"/>
          <w:sz w:val="24"/>
          <w:szCs w:val="24"/>
        </w:rPr>
        <w:t>tabla/</w:t>
      </w:r>
      <w:proofErr w:type="spellStart"/>
      <w:r w:rsidR="00D466F6" w:rsidRPr="00DB6AE9">
        <w:rPr>
          <w:rFonts w:ascii="Times New Roman" w:hAnsi="Times New Roman" w:cs="Times New Roman"/>
          <w:sz w:val="24"/>
          <w:szCs w:val="24"/>
        </w:rPr>
        <w:t>flanşta</w:t>
      </w:r>
      <w:proofErr w:type="spellEnd"/>
      <w:r w:rsidR="00D466F6" w:rsidRPr="00DB6AE9">
        <w:rPr>
          <w:rFonts w:ascii="Times New Roman" w:hAnsi="Times New Roman" w:cs="Times New Roman"/>
          <w:sz w:val="24"/>
          <w:szCs w:val="24"/>
        </w:rPr>
        <w:t xml:space="preserve"> bulunan delikler yardımıyla zemine montajı çelik/kimyasal dübel ve 10 x 100 mm </w:t>
      </w:r>
      <w:proofErr w:type="spellStart"/>
      <w:r w:rsidR="00D466F6" w:rsidRPr="00DB6AE9">
        <w:rPr>
          <w:rFonts w:ascii="Times New Roman" w:hAnsi="Times New Roman" w:cs="Times New Roman"/>
          <w:sz w:val="24"/>
          <w:szCs w:val="24"/>
        </w:rPr>
        <w:t>flanşlı</w:t>
      </w:r>
      <w:proofErr w:type="spellEnd"/>
      <w:r w:rsidR="00D466F6" w:rsidRPr="00DB6AE9">
        <w:rPr>
          <w:rFonts w:ascii="Times New Roman" w:hAnsi="Times New Roman" w:cs="Times New Roman"/>
          <w:sz w:val="24"/>
          <w:szCs w:val="24"/>
        </w:rPr>
        <w:t xml:space="preserve"> </w:t>
      </w:r>
      <w:proofErr w:type="spellStart"/>
      <w:r w:rsidR="00D466F6" w:rsidRPr="00DB6AE9">
        <w:rPr>
          <w:rFonts w:ascii="Times New Roman" w:hAnsi="Times New Roman" w:cs="Times New Roman"/>
          <w:sz w:val="24"/>
          <w:szCs w:val="24"/>
        </w:rPr>
        <w:t>trifon</w:t>
      </w:r>
      <w:proofErr w:type="spellEnd"/>
      <w:r w:rsidR="00D466F6" w:rsidRPr="00DB6AE9">
        <w:rPr>
          <w:rFonts w:ascii="Times New Roman" w:hAnsi="Times New Roman" w:cs="Times New Roman"/>
          <w:sz w:val="24"/>
          <w:szCs w:val="24"/>
        </w:rPr>
        <w:t xml:space="preserve"> vida ile montaj edilecektir.</w:t>
      </w:r>
    </w:p>
    <w:sectPr w:rsidR="003F50AD" w:rsidRPr="00DB6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C45"/>
    <w:multiLevelType w:val="multilevel"/>
    <w:tmpl w:val="70D2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25F10"/>
    <w:multiLevelType w:val="multilevel"/>
    <w:tmpl w:val="66C04EF2"/>
    <w:lvl w:ilvl="0">
      <w:start w:val="1"/>
      <w:numFmt w:val="decimal"/>
      <w:lvlText w:val="%1-"/>
      <w:lvlJc w:val="left"/>
      <w:pPr>
        <w:tabs>
          <w:tab w:val="num" w:pos="375"/>
        </w:tabs>
        <w:ind w:left="375" w:hanging="375"/>
      </w:pPr>
      <w:rPr>
        <w:b/>
      </w:r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 w15:restartNumberingAfterBreak="0">
    <w:nsid w:val="0C414D84"/>
    <w:multiLevelType w:val="hybridMultilevel"/>
    <w:tmpl w:val="72F8144E"/>
    <w:lvl w:ilvl="0" w:tplc="747AECB4">
      <w:start w:val="1"/>
      <w:numFmt w:val="decimal"/>
      <w:lvlText w:val="%1."/>
      <w:lvlJc w:val="left"/>
      <w:pPr>
        <w:ind w:left="360" w:hanging="360"/>
      </w:pPr>
      <w:rPr>
        <w:b/>
        <w:color w:val="auto"/>
        <w:sz w:val="24"/>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0E93560A"/>
    <w:multiLevelType w:val="hybridMultilevel"/>
    <w:tmpl w:val="135CF764"/>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15:restartNumberingAfterBreak="0">
    <w:nsid w:val="117B5216"/>
    <w:multiLevelType w:val="hybridMultilevel"/>
    <w:tmpl w:val="976A46C2"/>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15:restartNumberingAfterBreak="0">
    <w:nsid w:val="12BC5D98"/>
    <w:multiLevelType w:val="hybridMultilevel"/>
    <w:tmpl w:val="1964667E"/>
    <w:lvl w:ilvl="0" w:tplc="62466FCE">
      <w:start w:val="1"/>
      <w:numFmt w:val="decimal"/>
      <w:lvlText w:val="%1."/>
      <w:lvlJc w:val="left"/>
      <w:pPr>
        <w:ind w:left="360" w:hanging="360"/>
      </w:pPr>
      <w:rPr>
        <w:b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2AE72B4D"/>
    <w:multiLevelType w:val="hybridMultilevel"/>
    <w:tmpl w:val="E3168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D33C14"/>
    <w:multiLevelType w:val="hybridMultilevel"/>
    <w:tmpl w:val="FFCE5124"/>
    <w:lvl w:ilvl="0" w:tplc="35123D4A">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E21A3D"/>
    <w:multiLevelType w:val="hybridMultilevel"/>
    <w:tmpl w:val="ADDA1740"/>
    <w:lvl w:ilvl="0" w:tplc="62466FCE">
      <w:start w:val="1"/>
      <w:numFmt w:val="decimal"/>
      <w:lvlText w:val="%1."/>
      <w:lvlJc w:val="left"/>
      <w:pPr>
        <w:ind w:left="360" w:hanging="360"/>
      </w:pPr>
      <w:rPr>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BB601C6"/>
    <w:multiLevelType w:val="hybridMultilevel"/>
    <w:tmpl w:val="8E0AAF1E"/>
    <w:lvl w:ilvl="0" w:tplc="E87C73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F70A24"/>
    <w:multiLevelType w:val="hybridMultilevel"/>
    <w:tmpl w:val="93747572"/>
    <w:lvl w:ilvl="0" w:tplc="62466FCE">
      <w:start w:val="1"/>
      <w:numFmt w:val="decimal"/>
      <w:lvlText w:val="%1."/>
      <w:lvlJc w:val="left"/>
      <w:pPr>
        <w:ind w:left="360" w:hanging="360"/>
      </w:pPr>
      <w:rPr>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168641F"/>
    <w:multiLevelType w:val="hybridMultilevel"/>
    <w:tmpl w:val="7862E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11C7730"/>
    <w:multiLevelType w:val="hybridMultilevel"/>
    <w:tmpl w:val="F7701832"/>
    <w:lvl w:ilvl="0" w:tplc="97CE2FB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50620BC"/>
    <w:multiLevelType w:val="hybridMultilevel"/>
    <w:tmpl w:val="F3524E20"/>
    <w:lvl w:ilvl="0" w:tplc="00421AF6">
      <w:start w:val="1"/>
      <w:numFmt w:val="decimal"/>
      <w:lvlText w:val="%1."/>
      <w:lvlJc w:val="left"/>
      <w:pPr>
        <w:ind w:left="360" w:hanging="360"/>
      </w:pPr>
      <w:rPr>
        <w:b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59E74051"/>
    <w:multiLevelType w:val="hybridMultilevel"/>
    <w:tmpl w:val="3286BC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5F3A74C9"/>
    <w:multiLevelType w:val="hybridMultilevel"/>
    <w:tmpl w:val="37B8F6A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15:restartNumberingAfterBreak="0">
    <w:nsid w:val="60892E84"/>
    <w:multiLevelType w:val="hybridMultilevel"/>
    <w:tmpl w:val="6764F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15:restartNumberingAfterBreak="0">
    <w:nsid w:val="65610638"/>
    <w:multiLevelType w:val="hybridMultilevel"/>
    <w:tmpl w:val="C4C6551A"/>
    <w:lvl w:ilvl="0" w:tplc="35123D4A">
      <w:start w:val="1"/>
      <w:numFmt w:val="bullet"/>
      <w:lvlText w:val=""/>
      <w:lvlJc w:val="left"/>
      <w:pPr>
        <w:ind w:left="720" w:hanging="360"/>
      </w:pPr>
      <w:rPr>
        <w:rFonts w:ascii="Symbol" w:hAnsi="Symbol" w:hint="default"/>
        <w:sz w:val="24"/>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765D1661"/>
    <w:multiLevelType w:val="hybridMultilevel"/>
    <w:tmpl w:val="83CA771C"/>
    <w:lvl w:ilvl="0" w:tplc="00421AF6">
      <w:start w:val="1"/>
      <w:numFmt w:val="decimal"/>
      <w:lvlText w:val="%1."/>
      <w:lvlJc w:val="left"/>
      <w:pPr>
        <w:ind w:left="540" w:hanging="360"/>
      </w:pPr>
      <w:rPr>
        <w:b w:val="0"/>
        <w:color w:val="auto"/>
      </w:rPr>
    </w:lvl>
    <w:lvl w:ilvl="1" w:tplc="041F0019">
      <w:start w:val="1"/>
      <w:numFmt w:val="lowerLetter"/>
      <w:lvlText w:val="%2."/>
      <w:lvlJc w:val="left"/>
      <w:pPr>
        <w:ind w:left="1260" w:hanging="360"/>
      </w:pPr>
    </w:lvl>
    <w:lvl w:ilvl="2" w:tplc="041F001B">
      <w:start w:val="1"/>
      <w:numFmt w:val="lowerRoman"/>
      <w:lvlText w:val="%3."/>
      <w:lvlJc w:val="right"/>
      <w:pPr>
        <w:ind w:left="1980" w:hanging="180"/>
      </w:pPr>
    </w:lvl>
    <w:lvl w:ilvl="3" w:tplc="041F000F">
      <w:start w:val="1"/>
      <w:numFmt w:val="decimal"/>
      <w:lvlText w:val="%4."/>
      <w:lvlJc w:val="left"/>
      <w:pPr>
        <w:ind w:left="2700" w:hanging="360"/>
      </w:pPr>
    </w:lvl>
    <w:lvl w:ilvl="4" w:tplc="041F0019">
      <w:start w:val="1"/>
      <w:numFmt w:val="lowerLetter"/>
      <w:lvlText w:val="%5."/>
      <w:lvlJc w:val="left"/>
      <w:pPr>
        <w:ind w:left="3420" w:hanging="360"/>
      </w:pPr>
    </w:lvl>
    <w:lvl w:ilvl="5" w:tplc="041F001B">
      <w:start w:val="1"/>
      <w:numFmt w:val="lowerRoman"/>
      <w:lvlText w:val="%6."/>
      <w:lvlJc w:val="right"/>
      <w:pPr>
        <w:ind w:left="4140" w:hanging="180"/>
      </w:pPr>
    </w:lvl>
    <w:lvl w:ilvl="6" w:tplc="041F000F">
      <w:start w:val="1"/>
      <w:numFmt w:val="decimal"/>
      <w:lvlText w:val="%7."/>
      <w:lvlJc w:val="left"/>
      <w:pPr>
        <w:ind w:left="4860" w:hanging="360"/>
      </w:pPr>
    </w:lvl>
    <w:lvl w:ilvl="7" w:tplc="041F0019">
      <w:start w:val="1"/>
      <w:numFmt w:val="lowerLetter"/>
      <w:lvlText w:val="%8."/>
      <w:lvlJc w:val="left"/>
      <w:pPr>
        <w:ind w:left="5580" w:hanging="360"/>
      </w:pPr>
    </w:lvl>
    <w:lvl w:ilvl="8" w:tplc="041F001B">
      <w:start w:val="1"/>
      <w:numFmt w:val="lowerRoman"/>
      <w:lvlText w:val="%9."/>
      <w:lvlJc w:val="right"/>
      <w:pPr>
        <w:ind w:left="6300" w:hanging="180"/>
      </w:pPr>
    </w:lvl>
  </w:abstractNum>
  <w:abstractNum w:abstractNumId="20" w15:restartNumberingAfterBreak="0">
    <w:nsid w:val="778279AA"/>
    <w:multiLevelType w:val="hybridMultilevel"/>
    <w:tmpl w:val="75629498"/>
    <w:lvl w:ilvl="0" w:tplc="00421AF6">
      <w:start w:val="1"/>
      <w:numFmt w:val="decimal"/>
      <w:lvlText w:val="%1."/>
      <w:lvlJc w:val="left"/>
      <w:pPr>
        <w:ind w:left="360" w:hanging="360"/>
      </w:pPr>
      <w:rPr>
        <w:b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1" w15:restartNumberingAfterBreak="0">
    <w:nsid w:val="78231951"/>
    <w:multiLevelType w:val="hybridMultilevel"/>
    <w:tmpl w:val="0174252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9"/>
  </w:num>
  <w:num w:numId="2">
    <w:abstractNumId w:val="0"/>
  </w:num>
  <w:num w:numId="3">
    <w:abstractNumId w:val="21"/>
  </w:num>
  <w:num w:numId="4">
    <w:abstractNumId w:val="17"/>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8"/>
  </w:num>
  <w:num w:numId="19">
    <w:abstractNumId w:val="11"/>
  </w:num>
  <w:num w:numId="20">
    <w:abstractNumId w:val="2"/>
  </w:num>
  <w:num w:numId="21">
    <w:abstractNumId w:val="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57"/>
    <w:rsid w:val="00004571"/>
    <w:rsid w:val="00011238"/>
    <w:rsid w:val="00012C78"/>
    <w:rsid w:val="00022099"/>
    <w:rsid w:val="00022712"/>
    <w:rsid w:val="000232D4"/>
    <w:rsid w:val="0002504E"/>
    <w:rsid w:val="00031603"/>
    <w:rsid w:val="00033C15"/>
    <w:rsid w:val="000426AC"/>
    <w:rsid w:val="0004598B"/>
    <w:rsid w:val="00047252"/>
    <w:rsid w:val="00060253"/>
    <w:rsid w:val="0006498D"/>
    <w:rsid w:val="00067E40"/>
    <w:rsid w:val="0007344E"/>
    <w:rsid w:val="00077A56"/>
    <w:rsid w:val="00083441"/>
    <w:rsid w:val="000859A7"/>
    <w:rsid w:val="000923E5"/>
    <w:rsid w:val="00096C0D"/>
    <w:rsid w:val="00097114"/>
    <w:rsid w:val="000A3342"/>
    <w:rsid w:val="000A50DF"/>
    <w:rsid w:val="000A6A54"/>
    <w:rsid w:val="000A6B12"/>
    <w:rsid w:val="000B1BA7"/>
    <w:rsid w:val="000B4179"/>
    <w:rsid w:val="000B70A2"/>
    <w:rsid w:val="000C2C4B"/>
    <w:rsid w:val="000C4909"/>
    <w:rsid w:val="000D0F19"/>
    <w:rsid w:val="000D3685"/>
    <w:rsid w:val="000D5A65"/>
    <w:rsid w:val="000D7BF5"/>
    <w:rsid w:val="000E664B"/>
    <w:rsid w:val="000F151E"/>
    <w:rsid w:val="000F2E6A"/>
    <w:rsid w:val="001007EB"/>
    <w:rsid w:val="0011018C"/>
    <w:rsid w:val="001104B3"/>
    <w:rsid w:val="00123B78"/>
    <w:rsid w:val="00130E78"/>
    <w:rsid w:val="00135826"/>
    <w:rsid w:val="00136982"/>
    <w:rsid w:val="001376E7"/>
    <w:rsid w:val="0014230F"/>
    <w:rsid w:val="00142399"/>
    <w:rsid w:val="00145812"/>
    <w:rsid w:val="00150846"/>
    <w:rsid w:val="00150FA9"/>
    <w:rsid w:val="00152252"/>
    <w:rsid w:val="00152588"/>
    <w:rsid w:val="001534FD"/>
    <w:rsid w:val="00155A63"/>
    <w:rsid w:val="001601DC"/>
    <w:rsid w:val="0016190D"/>
    <w:rsid w:val="00164C73"/>
    <w:rsid w:val="00170AA7"/>
    <w:rsid w:val="001719C5"/>
    <w:rsid w:val="001760F2"/>
    <w:rsid w:val="00176BA0"/>
    <w:rsid w:val="00195EBB"/>
    <w:rsid w:val="001A03FC"/>
    <w:rsid w:val="001A07D0"/>
    <w:rsid w:val="001A16E8"/>
    <w:rsid w:val="001A18B7"/>
    <w:rsid w:val="001A342B"/>
    <w:rsid w:val="001A39D1"/>
    <w:rsid w:val="001A4F2E"/>
    <w:rsid w:val="001A5D0D"/>
    <w:rsid w:val="001A7D0C"/>
    <w:rsid w:val="001B0684"/>
    <w:rsid w:val="001B2B65"/>
    <w:rsid w:val="001B6E74"/>
    <w:rsid w:val="001B72C3"/>
    <w:rsid w:val="001E43E4"/>
    <w:rsid w:val="001E64BD"/>
    <w:rsid w:val="001E7F7D"/>
    <w:rsid w:val="001F056E"/>
    <w:rsid w:val="001F099F"/>
    <w:rsid w:val="001F0DCC"/>
    <w:rsid w:val="001F30A8"/>
    <w:rsid w:val="001F6789"/>
    <w:rsid w:val="00205557"/>
    <w:rsid w:val="002157FC"/>
    <w:rsid w:val="00217437"/>
    <w:rsid w:val="002215E4"/>
    <w:rsid w:val="002227E7"/>
    <w:rsid w:val="00223584"/>
    <w:rsid w:val="00225F30"/>
    <w:rsid w:val="0022674D"/>
    <w:rsid w:val="002303E9"/>
    <w:rsid w:val="0023672D"/>
    <w:rsid w:val="002505BB"/>
    <w:rsid w:val="00253625"/>
    <w:rsid w:val="00260E1F"/>
    <w:rsid w:val="002746B6"/>
    <w:rsid w:val="002804FF"/>
    <w:rsid w:val="00293195"/>
    <w:rsid w:val="0029773D"/>
    <w:rsid w:val="002A0BAC"/>
    <w:rsid w:val="002A3D09"/>
    <w:rsid w:val="002B3C49"/>
    <w:rsid w:val="002B47EA"/>
    <w:rsid w:val="002C5928"/>
    <w:rsid w:val="002C709C"/>
    <w:rsid w:val="002C7229"/>
    <w:rsid w:val="002E19BB"/>
    <w:rsid w:val="002E40FE"/>
    <w:rsid w:val="002F73AA"/>
    <w:rsid w:val="00300921"/>
    <w:rsid w:val="0030330C"/>
    <w:rsid w:val="00306BC4"/>
    <w:rsid w:val="0031488C"/>
    <w:rsid w:val="00331537"/>
    <w:rsid w:val="0033184D"/>
    <w:rsid w:val="00331C24"/>
    <w:rsid w:val="0033360F"/>
    <w:rsid w:val="00346432"/>
    <w:rsid w:val="00346A13"/>
    <w:rsid w:val="00347DF8"/>
    <w:rsid w:val="00357D69"/>
    <w:rsid w:val="003638DD"/>
    <w:rsid w:val="00375DD8"/>
    <w:rsid w:val="00376FBB"/>
    <w:rsid w:val="003824F5"/>
    <w:rsid w:val="00387A28"/>
    <w:rsid w:val="003931D2"/>
    <w:rsid w:val="003A1FE4"/>
    <w:rsid w:val="003A213E"/>
    <w:rsid w:val="003A6846"/>
    <w:rsid w:val="003B1864"/>
    <w:rsid w:val="003B2722"/>
    <w:rsid w:val="003C04E6"/>
    <w:rsid w:val="003D4208"/>
    <w:rsid w:val="003D4B35"/>
    <w:rsid w:val="003D5746"/>
    <w:rsid w:val="003D6FDF"/>
    <w:rsid w:val="003E1D1F"/>
    <w:rsid w:val="003E68B4"/>
    <w:rsid w:val="003E6A30"/>
    <w:rsid w:val="003F50AD"/>
    <w:rsid w:val="003F5834"/>
    <w:rsid w:val="00402D2B"/>
    <w:rsid w:val="00407254"/>
    <w:rsid w:val="00412A6D"/>
    <w:rsid w:val="00415C7C"/>
    <w:rsid w:val="00420A2B"/>
    <w:rsid w:val="00431B39"/>
    <w:rsid w:val="00432A9B"/>
    <w:rsid w:val="00433B30"/>
    <w:rsid w:val="00436CF9"/>
    <w:rsid w:val="00441AFC"/>
    <w:rsid w:val="004454D4"/>
    <w:rsid w:val="004571AC"/>
    <w:rsid w:val="00465036"/>
    <w:rsid w:val="00474D06"/>
    <w:rsid w:val="00476CC6"/>
    <w:rsid w:val="004775AF"/>
    <w:rsid w:val="00477A84"/>
    <w:rsid w:val="0048330F"/>
    <w:rsid w:val="00483C94"/>
    <w:rsid w:val="0048538F"/>
    <w:rsid w:val="0049242C"/>
    <w:rsid w:val="004935E0"/>
    <w:rsid w:val="00496C59"/>
    <w:rsid w:val="00497407"/>
    <w:rsid w:val="004A6223"/>
    <w:rsid w:val="004A6BC8"/>
    <w:rsid w:val="004B7A3D"/>
    <w:rsid w:val="004C12F9"/>
    <w:rsid w:val="004C6D89"/>
    <w:rsid w:val="004C7742"/>
    <w:rsid w:val="004C7BFB"/>
    <w:rsid w:val="004D2FD5"/>
    <w:rsid w:val="004D6F50"/>
    <w:rsid w:val="004E4C7C"/>
    <w:rsid w:val="004F090A"/>
    <w:rsid w:val="0051039F"/>
    <w:rsid w:val="0052194A"/>
    <w:rsid w:val="00532819"/>
    <w:rsid w:val="005465B9"/>
    <w:rsid w:val="005516F1"/>
    <w:rsid w:val="00553B43"/>
    <w:rsid w:val="00560BAB"/>
    <w:rsid w:val="00562522"/>
    <w:rsid w:val="00576A7F"/>
    <w:rsid w:val="005776E1"/>
    <w:rsid w:val="00581D7B"/>
    <w:rsid w:val="00585BD4"/>
    <w:rsid w:val="00586DC7"/>
    <w:rsid w:val="005A06F7"/>
    <w:rsid w:val="005A7D64"/>
    <w:rsid w:val="005B32A4"/>
    <w:rsid w:val="005B3DB4"/>
    <w:rsid w:val="005B74C9"/>
    <w:rsid w:val="005C3161"/>
    <w:rsid w:val="005C49C7"/>
    <w:rsid w:val="005C4FC8"/>
    <w:rsid w:val="005D080A"/>
    <w:rsid w:val="005D0BA6"/>
    <w:rsid w:val="005D6570"/>
    <w:rsid w:val="005E0AFF"/>
    <w:rsid w:val="005E446D"/>
    <w:rsid w:val="005F1699"/>
    <w:rsid w:val="005F17A1"/>
    <w:rsid w:val="0060072A"/>
    <w:rsid w:val="006044AB"/>
    <w:rsid w:val="00604F67"/>
    <w:rsid w:val="00605D75"/>
    <w:rsid w:val="00612D5F"/>
    <w:rsid w:val="00616F92"/>
    <w:rsid w:val="00620B57"/>
    <w:rsid w:val="006249BC"/>
    <w:rsid w:val="006304B2"/>
    <w:rsid w:val="0063189C"/>
    <w:rsid w:val="00635A15"/>
    <w:rsid w:val="00671853"/>
    <w:rsid w:val="00682340"/>
    <w:rsid w:val="00686001"/>
    <w:rsid w:val="00692B26"/>
    <w:rsid w:val="00693762"/>
    <w:rsid w:val="006A084E"/>
    <w:rsid w:val="006A5726"/>
    <w:rsid w:val="006B1D08"/>
    <w:rsid w:val="006B589E"/>
    <w:rsid w:val="006B5B40"/>
    <w:rsid w:val="006B5D33"/>
    <w:rsid w:val="006B5D35"/>
    <w:rsid w:val="006B6068"/>
    <w:rsid w:val="006C7F8F"/>
    <w:rsid w:val="006D1DFA"/>
    <w:rsid w:val="006D3C01"/>
    <w:rsid w:val="006D5670"/>
    <w:rsid w:val="006D5EF3"/>
    <w:rsid w:val="006D75B7"/>
    <w:rsid w:val="006D7E3A"/>
    <w:rsid w:val="006E04F8"/>
    <w:rsid w:val="006E06E2"/>
    <w:rsid w:val="006E47AB"/>
    <w:rsid w:val="006E715C"/>
    <w:rsid w:val="006F07BC"/>
    <w:rsid w:val="006F08F4"/>
    <w:rsid w:val="007021A5"/>
    <w:rsid w:val="007072E2"/>
    <w:rsid w:val="00712EFC"/>
    <w:rsid w:val="007158DA"/>
    <w:rsid w:val="007206A5"/>
    <w:rsid w:val="007214D3"/>
    <w:rsid w:val="00724298"/>
    <w:rsid w:val="007308A5"/>
    <w:rsid w:val="00740E06"/>
    <w:rsid w:val="007500C6"/>
    <w:rsid w:val="00750B82"/>
    <w:rsid w:val="00757B90"/>
    <w:rsid w:val="007603BF"/>
    <w:rsid w:val="0076612F"/>
    <w:rsid w:val="007747C3"/>
    <w:rsid w:val="0078254C"/>
    <w:rsid w:val="007832AD"/>
    <w:rsid w:val="00784946"/>
    <w:rsid w:val="00786C24"/>
    <w:rsid w:val="00787452"/>
    <w:rsid w:val="007876C4"/>
    <w:rsid w:val="00791BA7"/>
    <w:rsid w:val="00792EE4"/>
    <w:rsid w:val="007958DF"/>
    <w:rsid w:val="00795C7A"/>
    <w:rsid w:val="007969F3"/>
    <w:rsid w:val="00797522"/>
    <w:rsid w:val="007A3F0F"/>
    <w:rsid w:val="007A5446"/>
    <w:rsid w:val="007B055C"/>
    <w:rsid w:val="007B4373"/>
    <w:rsid w:val="007C186D"/>
    <w:rsid w:val="007C35C1"/>
    <w:rsid w:val="007C732A"/>
    <w:rsid w:val="007D20A0"/>
    <w:rsid w:val="007D2141"/>
    <w:rsid w:val="007D5413"/>
    <w:rsid w:val="007D70B8"/>
    <w:rsid w:val="007E13EA"/>
    <w:rsid w:val="007E5355"/>
    <w:rsid w:val="007E6E44"/>
    <w:rsid w:val="007E74B2"/>
    <w:rsid w:val="007F3A58"/>
    <w:rsid w:val="007F77AF"/>
    <w:rsid w:val="008020F1"/>
    <w:rsid w:val="00810970"/>
    <w:rsid w:val="00811DD1"/>
    <w:rsid w:val="00812449"/>
    <w:rsid w:val="00815E53"/>
    <w:rsid w:val="00815EA4"/>
    <w:rsid w:val="00825401"/>
    <w:rsid w:val="008505D3"/>
    <w:rsid w:val="00853F13"/>
    <w:rsid w:val="00862476"/>
    <w:rsid w:val="008707FE"/>
    <w:rsid w:val="00871E4D"/>
    <w:rsid w:val="00873C47"/>
    <w:rsid w:val="00874F2D"/>
    <w:rsid w:val="00880C00"/>
    <w:rsid w:val="00882F26"/>
    <w:rsid w:val="00883112"/>
    <w:rsid w:val="00890533"/>
    <w:rsid w:val="00893D94"/>
    <w:rsid w:val="0089706F"/>
    <w:rsid w:val="008A163B"/>
    <w:rsid w:val="008A2DE5"/>
    <w:rsid w:val="008B2D8D"/>
    <w:rsid w:val="008B4D5B"/>
    <w:rsid w:val="008B7F3A"/>
    <w:rsid w:val="008C263A"/>
    <w:rsid w:val="008C70CA"/>
    <w:rsid w:val="008D0FB4"/>
    <w:rsid w:val="008D4F96"/>
    <w:rsid w:val="008E4C80"/>
    <w:rsid w:val="008F12CD"/>
    <w:rsid w:val="008F14B5"/>
    <w:rsid w:val="008F624F"/>
    <w:rsid w:val="00905597"/>
    <w:rsid w:val="00905EF3"/>
    <w:rsid w:val="009063F6"/>
    <w:rsid w:val="0091151C"/>
    <w:rsid w:val="00911C76"/>
    <w:rsid w:val="009169F4"/>
    <w:rsid w:val="00917BE9"/>
    <w:rsid w:val="00922E9A"/>
    <w:rsid w:val="00924221"/>
    <w:rsid w:val="00933C55"/>
    <w:rsid w:val="0093623F"/>
    <w:rsid w:val="00937B04"/>
    <w:rsid w:val="009464B4"/>
    <w:rsid w:val="009523CE"/>
    <w:rsid w:val="0095479D"/>
    <w:rsid w:val="009628A9"/>
    <w:rsid w:val="0096715E"/>
    <w:rsid w:val="00972095"/>
    <w:rsid w:val="00984567"/>
    <w:rsid w:val="00991F2E"/>
    <w:rsid w:val="009951D3"/>
    <w:rsid w:val="009A0D8F"/>
    <w:rsid w:val="009A2C43"/>
    <w:rsid w:val="009A7CBB"/>
    <w:rsid w:val="009B44BA"/>
    <w:rsid w:val="009B4B6C"/>
    <w:rsid w:val="009B669E"/>
    <w:rsid w:val="009C4B68"/>
    <w:rsid w:val="009C59CB"/>
    <w:rsid w:val="009D0519"/>
    <w:rsid w:val="009D3662"/>
    <w:rsid w:val="009D3FFD"/>
    <w:rsid w:val="009E3559"/>
    <w:rsid w:val="009E3A0F"/>
    <w:rsid w:val="009E525F"/>
    <w:rsid w:val="009E69F9"/>
    <w:rsid w:val="009F3168"/>
    <w:rsid w:val="009F51B1"/>
    <w:rsid w:val="009F5628"/>
    <w:rsid w:val="00A02274"/>
    <w:rsid w:val="00A02CA1"/>
    <w:rsid w:val="00A04BC9"/>
    <w:rsid w:val="00A130FC"/>
    <w:rsid w:val="00A22756"/>
    <w:rsid w:val="00A23131"/>
    <w:rsid w:val="00A24476"/>
    <w:rsid w:val="00A257DD"/>
    <w:rsid w:val="00A307C0"/>
    <w:rsid w:val="00A355DA"/>
    <w:rsid w:val="00A40ACB"/>
    <w:rsid w:val="00A41FFE"/>
    <w:rsid w:val="00A45DE0"/>
    <w:rsid w:val="00A46B74"/>
    <w:rsid w:val="00A47661"/>
    <w:rsid w:val="00A55988"/>
    <w:rsid w:val="00A55E6B"/>
    <w:rsid w:val="00A60EFA"/>
    <w:rsid w:val="00A616D8"/>
    <w:rsid w:val="00A648E7"/>
    <w:rsid w:val="00A66ECD"/>
    <w:rsid w:val="00A6736D"/>
    <w:rsid w:val="00A8234E"/>
    <w:rsid w:val="00A867D8"/>
    <w:rsid w:val="00A90456"/>
    <w:rsid w:val="00A90507"/>
    <w:rsid w:val="00A92C6A"/>
    <w:rsid w:val="00A92E3D"/>
    <w:rsid w:val="00A944F5"/>
    <w:rsid w:val="00A949C3"/>
    <w:rsid w:val="00AA2514"/>
    <w:rsid w:val="00AB682F"/>
    <w:rsid w:val="00AB7FCB"/>
    <w:rsid w:val="00AC29C5"/>
    <w:rsid w:val="00AD6436"/>
    <w:rsid w:val="00AF0AE0"/>
    <w:rsid w:val="00AF1AFB"/>
    <w:rsid w:val="00B02DB1"/>
    <w:rsid w:val="00B1110E"/>
    <w:rsid w:val="00B12D12"/>
    <w:rsid w:val="00B131FD"/>
    <w:rsid w:val="00B138C8"/>
    <w:rsid w:val="00B13F78"/>
    <w:rsid w:val="00B140B3"/>
    <w:rsid w:val="00B160A0"/>
    <w:rsid w:val="00B21C61"/>
    <w:rsid w:val="00B2257D"/>
    <w:rsid w:val="00B32126"/>
    <w:rsid w:val="00B33F2D"/>
    <w:rsid w:val="00B345DA"/>
    <w:rsid w:val="00B41BC6"/>
    <w:rsid w:val="00B450DC"/>
    <w:rsid w:val="00B53B4B"/>
    <w:rsid w:val="00B575E9"/>
    <w:rsid w:val="00B65D25"/>
    <w:rsid w:val="00B67333"/>
    <w:rsid w:val="00B7274C"/>
    <w:rsid w:val="00B74092"/>
    <w:rsid w:val="00B76638"/>
    <w:rsid w:val="00B7677D"/>
    <w:rsid w:val="00B8279E"/>
    <w:rsid w:val="00B8403C"/>
    <w:rsid w:val="00B84580"/>
    <w:rsid w:val="00B87292"/>
    <w:rsid w:val="00B90787"/>
    <w:rsid w:val="00B97A8D"/>
    <w:rsid w:val="00B97EA2"/>
    <w:rsid w:val="00BA2AB5"/>
    <w:rsid w:val="00BB07FE"/>
    <w:rsid w:val="00BB1504"/>
    <w:rsid w:val="00BB262A"/>
    <w:rsid w:val="00BC2F51"/>
    <w:rsid w:val="00BC7325"/>
    <w:rsid w:val="00BE44B4"/>
    <w:rsid w:val="00BF5872"/>
    <w:rsid w:val="00C0263F"/>
    <w:rsid w:val="00C07B88"/>
    <w:rsid w:val="00C1023A"/>
    <w:rsid w:val="00C11DD1"/>
    <w:rsid w:val="00C11E58"/>
    <w:rsid w:val="00C13009"/>
    <w:rsid w:val="00C148F6"/>
    <w:rsid w:val="00C23CD3"/>
    <w:rsid w:val="00C243C5"/>
    <w:rsid w:val="00C26FBE"/>
    <w:rsid w:val="00C45900"/>
    <w:rsid w:val="00C5079B"/>
    <w:rsid w:val="00C56101"/>
    <w:rsid w:val="00C563B9"/>
    <w:rsid w:val="00C61813"/>
    <w:rsid w:val="00C61DE3"/>
    <w:rsid w:val="00C71250"/>
    <w:rsid w:val="00C71E2A"/>
    <w:rsid w:val="00C72561"/>
    <w:rsid w:val="00C7749E"/>
    <w:rsid w:val="00C9722A"/>
    <w:rsid w:val="00CA0B18"/>
    <w:rsid w:val="00CB2F73"/>
    <w:rsid w:val="00CB3903"/>
    <w:rsid w:val="00CB3BBB"/>
    <w:rsid w:val="00CB5898"/>
    <w:rsid w:val="00CC31F0"/>
    <w:rsid w:val="00CC53C8"/>
    <w:rsid w:val="00CD4E47"/>
    <w:rsid w:val="00CF14BD"/>
    <w:rsid w:val="00D146DB"/>
    <w:rsid w:val="00D14AE2"/>
    <w:rsid w:val="00D210E3"/>
    <w:rsid w:val="00D23099"/>
    <w:rsid w:val="00D266F1"/>
    <w:rsid w:val="00D30463"/>
    <w:rsid w:val="00D310D3"/>
    <w:rsid w:val="00D368F3"/>
    <w:rsid w:val="00D40089"/>
    <w:rsid w:val="00D419CB"/>
    <w:rsid w:val="00D466F6"/>
    <w:rsid w:val="00D46C45"/>
    <w:rsid w:val="00D51512"/>
    <w:rsid w:val="00D51C7F"/>
    <w:rsid w:val="00D55B17"/>
    <w:rsid w:val="00D67643"/>
    <w:rsid w:val="00D70B40"/>
    <w:rsid w:val="00D833B5"/>
    <w:rsid w:val="00D84D54"/>
    <w:rsid w:val="00D85434"/>
    <w:rsid w:val="00D912B1"/>
    <w:rsid w:val="00D93D2C"/>
    <w:rsid w:val="00D94997"/>
    <w:rsid w:val="00DA0777"/>
    <w:rsid w:val="00DA1F41"/>
    <w:rsid w:val="00DA5D56"/>
    <w:rsid w:val="00DB2D06"/>
    <w:rsid w:val="00DB2E3F"/>
    <w:rsid w:val="00DB48B6"/>
    <w:rsid w:val="00DB6671"/>
    <w:rsid w:val="00DB6A1A"/>
    <w:rsid w:val="00DB6AE9"/>
    <w:rsid w:val="00DC137F"/>
    <w:rsid w:val="00DD151D"/>
    <w:rsid w:val="00DD65E8"/>
    <w:rsid w:val="00DE6F7C"/>
    <w:rsid w:val="00DF25EE"/>
    <w:rsid w:val="00DF5D7F"/>
    <w:rsid w:val="00E003EC"/>
    <w:rsid w:val="00E10CA5"/>
    <w:rsid w:val="00E13F27"/>
    <w:rsid w:val="00E16C58"/>
    <w:rsid w:val="00E340BB"/>
    <w:rsid w:val="00E4085B"/>
    <w:rsid w:val="00E42BCC"/>
    <w:rsid w:val="00E44210"/>
    <w:rsid w:val="00E46932"/>
    <w:rsid w:val="00E511DD"/>
    <w:rsid w:val="00E546B0"/>
    <w:rsid w:val="00E61C58"/>
    <w:rsid w:val="00E65096"/>
    <w:rsid w:val="00E708ED"/>
    <w:rsid w:val="00E71CF6"/>
    <w:rsid w:val="00E735A0"/>
    <w:rsid w:val="00E763BC"/>
    <w:rsid w:val="00E800BA"/>
    <w:rsid w:val="00E83E2F"/>
    <w:rsid w:val="00E956C5"/>
    <w:rsid w:val="00E969FA"/>
    <w:rsid w:val="00EA2F0A"/>
    <w:rsid w:val="00EA55E1"/>
    <w:rsid w:val="00EC13D6"/>
    <w:rsid w:val="00EC3EE7"/>
    <w:rsid w:val="00EC7B07"/>
    <w:rsid w:val="00ED26FB"/>
    <w:rsid w:val="00ED303A"/>
    <w:rsid w:val="00EE1A56"/>
    <w:rsid w:val="00EF62B2"/>
    <w:rsid w:val="00EF7B9E"/>
    <w:rsid w:val="00F01589"/>
    <w:rsid w:val="00F01AA4"/>
    <w:rsid w:val="00F045C3"/>
    <w:rsid w:val="00F05DFA"/>
    <w:rsid w:val="00F1045C"/>
    <w:rsid w:val="00F11038"/>
    <w:rsid w:val="00F2064A"/>
    <w:rsid w:val="00F20C9F"/>
    <w:rsid w:val="00F41813"/>
    <w:rsid w:val="00F61490"/>
    <w:rsid w:val="00F64439"/>
    <w:rsid w:val="00F672F4"/>
    <w:rsid w:val="00F8388D"/>
    <w:rsid w:val="00F87178"/>
    <w:rsid w:val="00F969A0"/>
    <w:rsid w:val="00F97C1E"/>
    <w:rsid w:val="00FA0355"/>
    <w:rsid w:val="00FA56F9"/>
    <w:rsid w:val="00FA6790"/>
    <w:rsid w:val="00FB3199"/>
    <w:rsid w:val="00FB35FD"/>
    <w:rsid w:val="00FB4E3A"/>
    <w:rsid w:val="00FB797A"/>
    <w:rsid w:val="00FC26B7"/>
    <w:rsid w:val="00FC6A86"/>
    <w:rsid w:val="00FD01CA"/>
    <w:rsid w:val="00FD0407"/>
    <w:rsid w:val="00FD2448"/>
    <w:rsid w:val="00FD7863"/>
    <w:rsid w:val="00FD7977"/>
    <w:rsid w:val="00FE1A59"/>
    <w:rsid w:val="00FE2CB0"/>
    <w:rsid w:val="00FE7A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581E"/>
  <w15:docId w15:val="{A3D52DCD-A338-4998-AFBC-C5FD0665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672F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5D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DE0"/>
    <w:rPr>
      <w:rFonts w:ascii="Tahoma" w:hAnsi="Tahoma" w:cs="Tahoma"/>
      <w:sz w:val="16"/>
      <w:szCs w:val="16"/>
    </w:rPr>
  </w:style>
  <w:style w:type="paragraph" w:styleId="ListeParagraf">
    <w:name w:val="List Paragraph"/>
    <w:basedOn w:val="Normal"/>
    <w:link w:val="ListeParagrafChar"/>
    <w:uiPriority w:val="34"/>
    <w:qFormat/>
    <w:rsid w:val="0002504E"/>
    <w:pPr>
      <w:ind w:left="720"/>
      <w:contextualSpacing/>
    </w:pPr>
  </w:style>
  <w:style w:type="character" w:customStyle="1" w:styleId="ListeParagrafChar">
    <w:name w:val="Liste Paragraf Char"/>
    <w:link w:val="ListeParagraf"/>
    <w:uiPriority w:val="34"/>
    <w:locked/>
    <w:rsid w:val="0002504E"/>
  </w:style>
  <w:style w:type="character" w:customStyle="1" w:styleId="Balk3Char">
    <w:name w:val="Başlık 3 Char"/>
    <w:basedOn w:val="VarsaylanParagrafYazTipi"/>
    <w:link w:val="Balk3"/>
    <w:uiPriority w:val="9"/>
    <w:rsid w:val="00F672F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672F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6C7F8F"/>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5456">
      <w:bodyDiv w:val="1"/>
      <w:marLeft w:val="0"/>
      <w:marRight w:val="0"/>
      <w:marTop w:val="0"/>
      <w:marBottom w:val="0"/>
      <w:divBdr>
        <w:top w:val="none" w:sz="0" w:space="0" w:color="auto"/>
        <w:left w:val="none" w:sz="0" w:space="0" w:color="auto"/>
        <w:bottom w:val="none" w:sz="0" w:space="0" w:color="auto"/>
        <w:right w:val="none" w:sz="0" w:space="0" w:color="auto"/>
      </w:divBdr>
    </w:div>
    <w:div w:id="405610660">
      <w:bodyDiv w:val="1"/>
      <w:marLeft w:val="0"/>
      <w:marRight w:val="0"/>
      <w:marTop w:val="0"/>
      <w:marBottom w:val="0"/>
      <w:divBdr>
        <w:top w:val="none" w:sz="0" w:space="0" w:color="auto"/>
        <w:left w:val="none" w:sz="0" w:space="0" w:color="auto"/>
        <w:bottom w:val="none" w:sz="0" w:space="0" w:color="auto"/>
        <w:right w:val="none" w:sz="0" w:space="0" w:color="auto"/>
      </w:divBdr>
    </w:div>
    <w:div w:id="680162082">
      <w:bodyDiv w:val="1"/>
      <w:marLeft w:val="0"/>
      <w:marRight w:val="0"/>
      <w:marTop w:val="0"/>
      <w:marBottom w:val="0"/>
      <w:divBdr>
        <w:top w:val="none" w:sz="0" w:space="0" w:color="auto"/>
        <w:left w:val="none" w:sz="0" w:space="0" w:color="auto"/>
        <w:bottom w:val="none" w:sz="0" w:space="0" w:color="auto"/>
        <w:right w:val="none" w:sz="0" w:space="0" w:color="auto"/>
      </w:divBdr>
    </w:div>
    <w:div w:id="803743495">
      <w:bodyDiv w:val="1"/>
      <w:marLeft w:val="0"/>
      <w:marRight w:val="0"/>
      <w:marTop w:val="0"/>
      <w:marBottom w:val="0"/>
      <w:divBdr>
        <w:top w:val="none" w:sz="0" w:space="0" w:color="auto"/>
        <w:left w:val="none" w:sz="0" w:space="0" w:color="auto"/>
        <w:bottom w:val="none" w:sz="0" w:space="0" w:color="auto"/>
        <w:right w:val="none" w:sz="0" w:space="0" w:color="auto"/>
      </w:divBdr>
    </w:div>
    <w:div w:id="1188522193">
      <w:bodyDiv w:val="1"/>
      <w:marLeft w:val="0"/>
      <w:marRight w:val="0"/>
      <w:marTop w:val="0"/>
      <w:marBottom w:val="0"/>
      <w:divBdr>
        <w:top w:val="none" w:sz="0" w:space="0" w:color="auto"/>
        <w:left w:val="none" w:sz="0" w:space="0" w:color="auto"/>
        <w:bottom w:val="none" w:sz="0" w:space="0" w:color="auto"/>
        <w:right w:val="none" w:sz="0" w:space="0" w:color="auto"/>
      </w:divBdr>
    </w:div>
    <w:div w:id="1392997973">
      <w:bodyDiv w:val="1"/>
      <w:marLeft w:val="0"/>
      <w:marRight w:val="0"/>
      <w:marTop w:val="0"/>
      <w:marBottom w:val="0"/>
      <w:divBdr>
        <w:top w:val="none" w:sz="0" w:space="0" w:color="auto"/>
        <w:left w:val="none" w:sz="0" w:space="0" w:color="auto"/>
        <w:bottom w:val="none" w:sz="0" w:space="0" w:color="auto"/>
        <w:right w:val="none" w:sz="0" w:space="0" w:color="auto"/>
      </w:divBdr>
    </w:div>
    <w:div w:id="1425223811">
      <w:bodyDiv w:val="1"/>
      <w:marLeft w:val="0"/>
      <w:marRight w:val="0"/>
      <w:marTop w:val="0"/>
      <w:marBottom w:val="0"/>
      <w:divBdr>
        <w:top w:val="none" w:sz="0" w:space="0" w:color="auto"/>
        <w:left w:val="none" w:sz="0" w:space="0" w:color="auto"/>
        <w:bottom w:val="none" w:sz="0" w:space="0" w:color="auto"/>
        <w:right w:val="none" w:sz="0" w:space="0" w:color="auto"/>
      </w:divBdr>
    </w:div>
    <w:div w:id="1487699678">
      <w:bodyDiv w:val="1"/>
      <w:marLeft w:val="0"/>
      <w:marRight w:val="0"/>
      <w:marTop w:val="0"/>
      <w:marBottom w:val="0"/>
      <w:divBdr>
        <w:top w:val="none" w:sz="0" w:space="0" w:color="auto"/>
        <w:left w:val="none" w:sz="0" w:space="0" w:color="auto"/>
        <w:bottom w:val="none" w:sz="0" w:space="0" w:color="auto"/>
        <w:right w:val="none" w:sz="0" w:space="0" w:color="auto"/>
      </w:divBdr>
    </w:div>
    <w:div w:id="1625233851">
      <w:bodyDiv w:val="1"/>
      <w:marLeft w:val="0"/>
      <w:marRight w:val="0"/>
      <w:marTop w:val="0"/>
      <w:marBottom w:val="0"/>
      <w:divBdr>
        <w:top w:val="none" w:sz="0" w:space="0" w:color="auto"/>
        <w:left w:val="none" w:sz="0" w:space="0" w:color="auto"/>
        <w:bottom w:val="none" w:sz="0" w:space="0" w:color="auto"/>
        <w:right w:val="none" w:sz="0" w:space="0" w:color="auto"/>
      </w:divBdr>
      <w:divsChild>
        <w:div w:id="1537309070">
          <w:marLeft w:val="0"/>
          <w:marRight w:val="0"/>
          <w:marTop w:val="0"/>
          <w:marBottom w:val="0"/>
          <w:divBdr>
            <w:top w:val="none" w:sz="0" w:space="0" w:color="auto"/>
            <w:left w:val="none" w:sz="0" w:space="0" w:color="auto"/>
            <w:bottom w:val="none" w:sz="0" w:space="0" w:color="auto"/>
            <w:right w:val="none" w:sz="0" w:space="0" w:color="auto"/>
          </w:divBdr>
          <w:divsChild>
            <w:div w:id="1257909193">
              <w:marLeft w:val="0"/>
              <w:marRight w:val="0"/>
              <w:marTop w:val="0"/>
              <w:marBottom w:val="750"/>
              <w:divBdr>
                <w:top w:val="none" w:sz="0" w:space="0" w:color="auto"/>
                <w:left w:val="none" w:sz="0" w:space="0" w:color="auto"/>
                <w:bottom w:val="none" w:sz="0" w:space="0" w:color="auto"/>
                <w:right w:val="none" w:sz="0" w:space="0" w:color="auto"/>
              </w:divBdr>
              <w:divsChild>
                <w:div w:id="1406075524">
                  <w:marLeft w:val="0"/>
                  <w:marRight w:val="0"/>
                  <w:marTop w:val="0"/>
                  <w:marBottom w:val="0"/>
                  <w:divBdr>
                    <w:top w:val="none" w:sz="0" w:space="0" w:color="auto"/>
                    <w:left w:val="none" w:sz="0" w:space="0" w:color="auto"/>
                    <w:bottom w:val="none" w:sz="0" w:space="0" w:color="auto"/>
                    <w:right w:val="none" w:sz="0" w:space="0" w:color="auto"/>
                  </w:divBdr>
                </w:div>
                <w:div w:id="1797018812">
                  <w:marLeft w:val="0"/>
                  <w:marRight w:val="0"/>
                  <w:marTop w:val="0"/>
                  <w:marBottom w:val="0"/>
                  <w:divBdr>
                    <w:top w:val="none" w:sz="0" w:space="0" w:color="auto"/>
                    <w:left w:val="none" w:sz="0" w:space="0" w:color="auto"/>
                    <w:bottom w:val="none" w:sz="0" w:space="0" w:color="auto"/>
                    <w:right w:val="none" w:sz="0" w:space="0" w:color="auto"/>
                  </w:divBdr>
                  <w:divsChild>
                    <w:div w:id="1815365683">
                      <w:marLeft w:val="0"/>
                      <w:marRight w:val="0"/>
                      <w:marTop w:val="0"/>
                      <w:marBottom w:val="0"/>
                      <w:divBdr>
                        <w:top w:val="none" w:sz="0" w:space="0" w:color="auto"/>
                        <w:left w:val="none" w:sz="0" w:space="0" w:color="auto"/>
                        <w:bottom w:val="none" w:sz="0" w:space="0" w:color="auto"/>
                        <w:right w:val="none" w:sz="0" w:space="0" w:color="auto"/>
                      </w:divBdr>
                      <w:divsChild>
                        <w:div w:id="1103067571">
                          <w:marLeft w:val="0"/>
                          <w:marRight w:val="0"/>
                          <w:marTop w:val="0"/>
                          <w:marBottom w:val="0"/>
                          <w:divBdr>
                            <w:top w:val="none" w:sz="0" w:space="0" w:color="auto"/>
                            <w:left w:val="none" w:sz="0" w:space="0" w:color="auto"/>
                            <w:bottom w:val="none" w:sz="0" w:space="0" w:color="auto"/>
                            <w:right w:val="none" w:sz="0" w:space="0" w:color="auto"/>
                          </w:divBdr>
                          <w:divsChild>
                            <w:div w:id="1420296566">
                              <w:marLeft w:val="0"/>
                              <w:marRight w:val="0"/>
                              <w:marTop w:val="0"/>
                              <w:marBottom w:val="0"/>
                              <w:divBdr>
                                <w:top w:val="none" w:sz="0" w:space="0" w:color="auto"/>
                                <w:left w:val="none" w:sz="0" w:space="0" w:color="auto"/>
                                <w:bottom w:val="none" w:sz="0" w:space="0" w:color="auto"/>
                                <w:right w:val="none" w:sz="0" w:space="0" w:color="auto"/>
                              </w:divBdr>
                              <w:divsChild>
                                <w:div w:id="355696334">
                                  <w:marLeft w:val="0"/>
                                  <w:marRight w:val="-8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975383">
          <w:marLeft w:val="0"/>
          <w:marRight w:val="0"/>
          <w:marTop w:val="750"/>
          <w:marBottom w:val="0"/>
          <w:divBdr>
            <w:top w:val="none" w:sz="0" w:space="0" w:color="auto"/>
            <w:left w:val="none" w:sz="0" w:space="0" w:color="auto"/>
            <w:bottom w:val="none" w:sz="0" w:space="0" w:color="auto"/>
            <w:right w:val="none" w:sz="0" w:space="0" w:color="auto"/>
          </w:divBdr>
        </w:div>
      </w:divsChild>
    </w:div>
    <w:div w:id="1751079975">
      <w:bodyDiv w:val="1"/>
      <w:marLeft w:val="0"/>
      <w:marRight w:val="0"/>
      <w:marTop w:val="0"/>
      <w:marBottom w:val="0"/>
      <w:divBdr>
        <w:top w:val="none" w:sz="0" w:space="0" w:color="auto"/>
        <w:left w:val="none" w:sz="0" w:space="0" w:color="auto"/>
        <w:bottom w:val="none" w:sz="0" w:space="0" w:color="auto"/>
        <w:right w:val="none" w:sz="0" w:space="0" w:color="auto"/>
      </w:divBdr>
    </w:div>
    <w:div w:id="1877502907">
      <w:bodyDiv w:val="1"/>
      <w:marLeft w:val="0"/>
      <w:marRight w:val="0"/>
      <w:marTop w:val="0"/>
      <w:marBottom w:val="0"/>
      <w:divBdr>
        <w:top w:val="none" w:sz="0" w:space="0" w:color="auto"/>
        <w:left w:val="none" w:sz="0" w:space="0" w:color="auto"/>
        <w:bottom w:val="none" w:sz="0" w:space="0" w:color="auto"/>
        <w:right w:val="none" w:sz="0" w:space="0" w:color="auto"/>
      </w:divBdr>
    </w:div>
    <w:div w:id="1974939085">
      <w:bodyDiv w:val="1"/>
      <w:marLeft w:val="0"/>
      <w:marRight w:val="0"/>
      <w:marTop w:val="0"/>
      <w:marBottom w:val="0"/>
      <w:divBdr>
        <w:top w:val="none" w:sz="0" w:space="0" w:color="auto"/>
        <w:left w:val="none" w:sz="0" w:space="0" w:color="auto"/>
        <w:bottom w:val="none" w:sz="0" w:space="0" w:color="auto"/>
        <w:right w:val="none" w:sz="0" w:space="0" w:color="auto"/>
      </w:divBdr>
    </w:div>
    <w:div w:id="20251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5019F-3625-42BF-8208-0C005A77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1415</Words>
  <Characters>8072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samsungg</dc:creator>
  <cp:keywords/>
  <dc:description/>
  <cp:lastModifiedBy>Pc</cp:lastModifiedBy>
  <cp:revision>8</cp:revision>
  <dcterms:created xsi:type="dcterms:W3CDTF">2020-07-27T09:31:00Z</dcterms:created>
  <dcterms:modified xsi:type="dcterms:W3CDTF">2020-11-04T14:19:00Z</dcterms:modified>
</cp:coreProperties>
</file>